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5DCB" w14:textId="77777777" w:rsidR="009115C3" w:rsidRDefault="009115C3" w:rsidP="009115C3">
      <w:pPr>
        <w:spacing w:after="0" w:line="240" w:lineRule="auto"/>
        <w:ind w:firstLine="708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</w:p>
    <w:p w14:paraId="2F5B4DDC" w14:textId="66E573F7" w:rsidR="005079B3" w:rsidRDefault="005079B3" w:rsidP="009115C3">
      <w:pPr>
        <w:spacing w:after="0" w:line="240" w:lineRule="auto"/>
        <w:ind w:firstLine="708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 w:hint="eastAsia"/>
          <w:b/>
          <w:bCs/>
          <w:color w:val="010101"/>
          <w:sz w:val="25"/>
          <w:lang w:eastAsia="uk-UA"/>
        </w:rPr>
        <w:t>О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цінювання</w:t>
      </w:r>
      <w:r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 xml:space="preserve"> </w:t>
      </w:r>
    </w:p>
    <w:p w14:paraId="12B0048C" w14:textId="0F75A583" w:rsidR="009115C3" w:rsidRPr="009115C3" w:rsidRDefault="009115C3" w:rsidP="009115C3">
      <w:pPr>
        <w:spacing w:after="0" w:line="240" w:lineRule="auto"/>
        <w:ind w:firstLine="708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Міністерство освіти і науки України затвердило рекомендації щодо оцінювання результатів навчання здобувачів освіти відповідно до Державного стандарту базової середньої освіти. Відповідний наказ від 2 серпня 2024 року </w:t>
      </w:r>
      <w:hyperlink r:id="rId5" w:tgtFrame="_blank" w:history="1">
        <w:r w:rsidRPr="009115C3">
          <w:rPr>
            <w:rFonts w:ascii="ProximaNova" w:eastAsia="Times New Roman" w:hAnsi="ProximaNova" w:cs="Times New Roman"/>
            <w:color w:val="A9C248"/>
            <w:sz w:val="25"/>
            <w:lang w:eastAsia="uk-UA"/>
          </w:rPr>
          <w:t>опублікований</w:t>
        </w:r>
      </w:hyperlink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 на сайті МОН.</w:t>
      </w:r>
    </w:p>
    <w:p w14:paraId="05AB337F" w14:textId="77777777" w:rsidR="009115C3" w:rsidRPr="009115C3" w:rsidRDefault="009115C3" w:rsidP="009115C3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Рекомендації стосуються оцінювання учнів 5-9 класів. Відповідно, наказ МОН  “Про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освіти” втрачає чинність (ідеться про </w:t>
      </w:r>
      <w:hyperlink r:id="rId6" w:tgtFrame="_blank" w:history="1">
        <w:r w:rsidRPr="009115C3">
          <w:rPr>
            <w:rFonts w:ascii="ProximaNova" w:eastAsia="Times New Roman" w:hAnsi="ProximaNova" w:cs="Times New Roman"/>
            <w:color w:val="A9C248"/>
            <w:sz w:val="25"/>
            <w:lang w:eastAsia="uk-UA"/>
          </w:rPr>
          <w:t>наказ №289</w:t>
        </w:r>
      </w:hyperlink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 від 1 квітня 2022 року).</w:t>
      </w:r>
    </w:p>
    <w:p w14:paraId="13E3514D" w14:textId="77777777" w:rsidR="009115C3" w:rsidRPr="009115C3" w:rsidRDefault="009115C3" w:rsidP="009115C3">
      <w:pPr>
        <w:spacing w:after="313" w:line="240" w:lineRule="auto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У нових рекомендаціях визначено, що результати навчання – це знання, уміння, навички, ставлення, цінності, набуті в процесі навчання, виховання та розвитку, 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14:paraId="12B2B95D" w14:textId="77777777" w:rsidR="009115C3" w:rsidRPr="009115C3" w:rsidRDefault="009115C3" w:rsidP="009115C3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Також у рекомендаціях описані 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основні функції оцінювання</w:t>
      </w: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:</w:t>
      </w:r>
    </w:p>
    <w:p w14:paraId="6D7DD5B6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формувальна (забезпечує відстеження динаміки навчального поступу);</w:t>
      </w:r>
    </w:p>
    <w:p w14:paraId="0F7C9869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proofErr w:type="spellStart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констатувальна</w:t>
      </w:r>
      <w:proofErr w:type="spellEnd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 xml:space="preserve"> (забезпечує встановлення рівня досягнення результатів навчання);</w:t>
      </w:r>
    </w:p>
    <w:p w14:paraId="39EFC033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proofErr w:type="spellStart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діагностувальна</w:t>
      </w:r>
      <w:proofErr w:type="spellEnd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 xml:space="preserve"> (надає інформацію про стан досягнення результатів навчання, наявність навчальних втрат, причини виникнення утруднень);</w:t>
      </w:r>
    </w:p>
    <w:p w14:paraId="3DAD2604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коригувальна (надає змогу вчителю відповідним чином адаптувати освітній процес);</w:t>
      </w:r>
    </w:p>
    <w:p w14:paraId="369837DA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орієнтувальна (надає змогу відстежити динаміку формування результатів навчання та спрогнозувати їх розвиток);</w:t>
      </w:r>
    </w:p>
    <w:p w14:paraId="08A37C37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мотиваційно-</w:t>
      </w:r>
      <w:proofErr w:type="spellStart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стимулювальна</w:t>
      </w:r>
      <w:proofErr w:type="spellEnd"/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 xml:space="preserve"> (активізує внутрішні й зовнішні мотиви до навчання);</w:t>
      </w:r>
    </w:p>
    <w:p w14:paraId="02E1118B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розвивальна (мотивує до рефлексії та самовдосконалення);</w:t>
      </w:r>
    </w:p>
    <w:p w14:paraId="0F6AA085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прогностична (ставить цілі навчання на майбутнє);</w:t>
      </w:r>
    </w:p>
    <w:p w14:paraId="089CC971" w14:textId="77777777" w:rsidR="009115C3" w:rsidRPr="009115C3" w:rsidRDefault="009115C3" w:rsidP="009115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виховна (сприяє вихованню в учнів свідомої дисципліни, наполегливості в роботі, працьовитості, почуття відповідальності, обов’язку).</w:t>
      </w:r>
    </w:p>
    <w:p w14:paraId="01E8A43C" w14:textId="77777777" w:rsidR="009115C3" w:rsidRPr="009115C3" w:rsidRDefault="009115C3" w:rsidP="009115C3">
      <w:pPr>
        <w:spacing w:after="0" w:line="240" w:lineRule="auto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Відповідно до рекомендацій, 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основними видами оцінювання</w:t>
      </w: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 результатів навчання учнів є формувальне оцінювання, підсумкове оцінювання та державна підсумкова атестація.</w:t>
      </w:r>
    </w:p>
    <w:p w14:paraId="54F13D67" w14:textId="77777777" w:rsidR="009115C3" w:rsidRPr="009115C3" w:rsidRDefault="009115C3" w:rsidP="009115C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Формувальне оцінювання 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14:paraId="45CD8DAF" w14:textId="77777777" w:rsidR="009115C3" w:rsidRPr="009115C3" w:rsidRDefault="009115C3" w:rsidP="009115C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Підсумкове оцінювання показує результат навчання та розвитку.</w:t>
      </w:r>
    </w:p>
    <w:p w14:paraId="79C14751" w14:textId="77777777" w:rsidR="009115C3" w:rsidRDefault="009115C3" w:rsidP="009115C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Державна підсумкова атестація передбачає оцінювання відповідності результатів навчання учнів, які завершили здобуття базової середньої освіти, вимогам Державного стандарту.</w:t>
      </w:r>
    </w:p>
    <w:p w14:paraId="06D9D8FA" w14:textId="77777777" w:rsidR="009115C3" w:rsidRPr="009115C3" w:rsidRDefault="009115C3" w:rsidP="009115C3">
      <w:pPr>
        <w:spacing w:after="0" w:line="240" w:lineRule="auto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</w:p>
    <w:p w14:paraId="6E65ADAF" w14:textId="77777777" w:rsidR="009115C3" w:rsidRPr="009115C3" w:rsidRDefault="009115C3" w:rsidP="009115C3">
      <w:pPr>
        <w:spacing w:after="0" w:line="240" w:lineRule="auto"/>
        <w:ind w:firstLine="708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У додатках до рекомендацій окреслені 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загальні критерії оцінювання</w:t>
      </w: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, які визначають загальні підходи до встановлення результатів навчання учнів, та 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критерії оцінювання за освітніми галузями.</w:t>
      </w:r>
    </w:p>
    <w:p w14:paraId="4DC4FBA0" w14:textId="77777777" w:rsidR="009115C3" w:rsidRPr="009115C3" w:rsidRDefault="009115C3" w:rsidP="009115C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Критерії оцінювання реалізуються за чотирма рівнями (початковий, середній, достатній, високий).</w:t>
      </w:r>
    </w:p>
    <w:p w14:paraId="18F5F614" w14:textId="77777777" w:rsidR="009115C3" w:rsidRPr="009115C3" w:rsidRDefault="009115C3" w:rsidP="009115C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Кожний наступний рівень охоплює вимоги до попереднього, а також додає нові.</w:t>
      </w:r>
    </w:p>
    <w:p w14:paraId="2EEE25A6" w14:textId="77777777" w:rsidR="009115C3" w:rsidRPr="009115C3" w:rsidRDefault="009115C3" w:rsidP="009115C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Критерії оцінювання дають змогу здійснювати оцінювання результатів навчання у 12-бальній шкалі оцінювання.</w:t>
      </w:r>
    </w:p>
    <w:p w14:paraId="0127169E" w14:textId="77777777" w:rsidR="009115C3" w:rsidRPr="009115C3" w:rsidRDefault="009115C3" w:rsidP="009115C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За вибором закладу освіти оцінювання може здійснюватися за власного шкалою оцінювання результатів навчання учнів. У разі запровадження закладом освіти власної шкали оцінювання результатів навчання учнів ним мають бути визначені правила переведення до 12-бальної шкали оцінювання.</w:t>
      </w:r>
    </w:p>
    <w:p w14:paraId="539B5F8C" w14:textId="77777777" w:rsidR="009115C3" w:rsidRPr="009115C3" w:rsidRDefault="009115C3" w:rsidP="009115C3">
      <w:pPr>
        <w:spacing w:after="0" w:line="240" w:lineRule="auto"/>
        <w:ind w:firstLine="391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Як ідеться у рекомендаціях, </w:t>
      </w:r>
      <w:r w:rsidRPr="009115C3">
        <w:rPr>
          <w:rFonts w:ascii="ProximaNova" w:eastAsia="Times New Roman" w:hAnsi="ProximaNova" w:cs="Times New Roman"/>
          <w:b/>
          <w:bCs/>
          <w:color w:val="010101"/>
          <w:sz w:val="25"/>
          <w:lang w:eastAsia="uk-UA"/>
        </w:rPr>
        <w:t>свідоцтво досягнень складається з двох частин</w:t>
      </w: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.</w:t>
      </w:r>
    </w:p>
    <w:p w14:paraId="0AAD67E3" w14:textId="77777777" w:rsidR="009115C3" w:rsidRPr="009115C3" w:rsidRDefault="009115C3" w:rsidP="009115C3">
      <w:pPr>
        <w:numPr>
          <w:ilvl w:val="0"/>
          <w:numId w:val="4"/>
        </w:numPr>
        <w:spacing w:after="501" w:line="240" w:lineRule="auto"/>
        <w:ind w:left="751" w:right="751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lastRenderedPageBreak/>
        <w:t>“Характеристика навчальної діяльності”, яка сформована відповідно до переліку наскрізних умінь, визначених Державним стандартом.</w:t>
      </w:r>
    </w:p>
    <w:p w14:paraId="39772F3B" w14:textId="77777777" w:rsidR="009115C3" w:rsidRPr="009115C3" w:rsidRDefault="009115C3" w:rsidP="009115C3">
      <w:pPr>
        <w:spacing w:after="313" w:line="240" w:lineRule="auto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Результатом спостереження за розвитком наскрізних умінь є виставлення відповідної позначки в стовпці “Має значні успіхи / Демонструє помітний прогрес / Потребує уваги і допомоги” після завершення кожного навчального року або в разі зміни учнями закладу освіти.</w:t>
      </w:r>
    </w:p>
    <w:p w14:paraId="2C5BB404" w14:textId="77777777" w:rsidR="009115C3" w:rsidRPr="009115C3" w:rsidRDefault="009115C3" w:rsidP="009115C3">
      <w:pPr>
        <w:spacing w:after="313" w:line="240" w:lineRule="auto"/>
        <w:ind w:firstLine="708"/>
        <w:jc w:val="both"/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141414"/>
          <w:sz w:val="25"/>
          <w:szCs w:val="25"/>
          <w:lang w:eastAsia="uk-UA"/>
        </w:rPr>
        <w:t>Способи організації фіксування результатів спостереження педагогічні колективи закладів освіти визначають самостійно.</w:t>
      </w:r>
    </w:p>
    <w:p w14:paraId="5515BF2A" w14:textId="77777777" w:rsidR="009115C3" w:rsidRPr="009115C3" w:rsidRDefault="009115C3" w:rsidP="009115C3">
      <w:pPr>
        <w:numPr>
          <w:ilvl w:val="0"/>
          <w:numId w:val="5"/>
        </w:numPr>
        <w:spacing w:after="501" w:line="240" w:lineRule="auto"/>
        <w:ind w:right="751"/>
        <w:jc w:val="both"/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</w:pPr>
      <w:r w:rsidRPr="009115C3">
        <w:rPr>
          <w:rFonts w:ascii="ProximaNova" w:eastAsia="Times New Roman" w:hAnsi="ProximaNova" w:cs="Times New Roman"/>
          <w:color w:val="010101"/>
          <w:sz w:val="25"/>
          <w:szCs w:val="25"/>
          <w:lang w:eastAsia="uk-UA"/>
        </w:rPr>
        <w:t>“Характеристика результатів навчання” заповнюється відповідно до переліку навчальних предметів / інтегрованих курсів, визначених затвердженою освітньою програмою закладу освіти.</w:t>
      </w:r>
    </w:p>
    <w:p w14:paraId="3E539390" w14:textId="77777777" w:rsidR="00924B8D" w:rsidRDefault="00924B8D" w:rsidP="009115C3">
      <w:pPr>
        <w:spacing w:line="240" w:lineRule="auto"/>
        <w:jc w:val="both"/>
      </w:pPr>
    </w:p>
    <w:sectPr w:rsidR="00924B8D" w:rsidSect="00924B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01D"/>
    <w:multiLevelType w:val="multilevel"/>
    <w:tmpl w:val="7534C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35734"/>
    <w:multiLevelType w:val="multilevel"/>
    <w:tmpl w:val="69B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76102"/>
    <w:multiLevelType w:val="multilevel"/>
    <w:tmpl w:val="9E54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709F"/>
    <w:multiLevelType w:val="multilevel"/>
    <w:tmpl w:val="858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E2F74"/>
    <w:multiLevelType w:val="multilevel"/>
    <w:tmpl w:val="181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381721">
    <w:abstractNumId w:val="4"/>
  </w:num>
  <w:num w:numId="2" w16cid:durableId="927227756">
    <w:abstractNumId w:val="1"/>
  </w:num>
  <w:num w:numId="3" w16cid:durableId="294024085">
    <w:abstractNumId w:val="2"/>
  </w:num>
  <w:num w:numId="4" w16cid:durableId="1310138108">
    <w:abstractNumId w:val="3"/>
  </w:num>
  <w:num w:numId="5" w16cid:durableId="123759215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C3"/>
    <w:rsid w:val="00053582"/>
    <w:rsid w:val="005079B3"/>
    <w:rsid w:val="009115C3"/>
    <w:rsid w:val="009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3190"/>
  <w15:docId w15:val="{792D29BF-FE79-4D51-B615-D51142B7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115C3"/>
    <w:rPr>
      <w:color w:val="0000FF"/>
      <w:u w:val="single"/>
    </w:rPr>
  </w:style>
  <w:style w:type="character" w:styleId="a5">
    <w:name w:val="Strong"/>
    <w:basedOn w:val="a0"/>
    <w:uiPriority w:val="22"/>
    <w:qFormat/>
    <w:rsid w:val="0091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shub.org.ua/resource/rekomendacziyi-shhodo-oczinyuvannya-navchalnyh-dosyagnen-uchniv-5-6-klasiv-yaki-zdobuvayut-osvitu-vidpovidno-do-novogo-derzhavnogo-standartu-bazovoyi-serednoyi-osvity-dodatok-do-nakazu-mon-%E2%84%96/" TargetMode="External"/><Relationship Id="rId5" Type="http://schemas.openxmlformats.org/officeDocument/2006/relationships/hyperlink" Target="https://mon.gov.ua/npa/pro-zatverdzhennia-rekomendatsii-shchodo-otsiniuvannia-rezultativ-navchan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2752</Words>
  <Characters>1569</Characters>
  <Application>Microsoft Office Word</Application>
  <DocSecurity>0</DocSecurity>
  <Lines>13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Олена Деревніцька</cp:lastModifiedBy>
  <cp:revision>3</cp:revision>
  <dcterms:created xsi:type="dcterms:W3CDTF">2024-09-18T07:31:00Z</dcterms:created>
  <dcterms:modified xsi:type="dcterms:W3CDTF">2025-09-14T19:19:00Z</dcterms:modified>
</cp:coreProperties>
</file>