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5C3" w:rsidRDefault="009115C3" w:rsidP="009115C3">
      <w:pPr>
        <w:spacing w:after="0" w:line="240" w:lineRule="auto"/>
        <w:ind w:firstLine="708"/>
        <w:jc w:val="both"/>
        <w:rPr>
          <w:rFonts w:ascii="ProximaNova" w:eastAsia="Times New Roman" w:hAnsi="ProximaNova" w:cs="Times New Roman"/>
          <w:color w:val="141414"/>
          <w:sz w:val="25"/>
          <w:szCs w:val="25"/>
          <w:lang w:eastAsia="uk-UA"/>
        </w:rPr>
      </w:pPr>
    </w:p>
    <w:p w:rsidR="009115C3" w:rsidRPr="009115C3" w:rsidRDefault="009115C3" w:rsidP="009115C3">
      <w:pPr>
        <w:spacing w:after="0" w:line="240" w:lineRule="auto"/>
        <w:ind w:firstLine="708"/>
        <w:jc w:val="both"/>
        <w:rPr>
          <w:rFonts w:ascii="ProximaNova" w:eastAsia="Times New Roman" w:hAnsi="ProximaNova" w:cs="Times New Roman"/>
          <w:color w:val="141414"/>
          <w:sz w:val="25"/>
          <w:szCs w:val="25"/>
          <w:lang w:eastAsia="uk-UA"/>
        </w:rPr>
      </w:pPr>
      <w:r w:rsidRPr="009115C3">
        <w:rPr>
          <w:rFonts w:ascii="ProximaNova" w:eastAsia="Times New Roman" w:hAnsi="ProximaNova" w:cs="Times New Roman"/>
          <w:color w:val="141414"/>
          <w:sz w:val="25"/>
          <w:szCs w:val="25"/>
          <w:lang w:eastAsia="uk-UA"/>
        </w:rPr>
        <w:t>Міністерство освіти і науки України затвердило рекомендації щодо оцінювання результатів навчання здобувачів освіти відповідно до Державного стандарту базової середньої освіти. Відповідний наказ від 2 серпня 2024 року </w:t>
      </w:r>
      <w:hyperlink r:id="rId5" w:tgtFrame="_blank" w:history="1">
        <w:r w:rsidRPr="009115C3">
          <w:rPr>
            <w:rFonts w:ascii="ProximaNova" w:eastAsia="Times New Roman" w:hAnsi="ProximaNova" w:cs="Times New Roman"/>
            <w:color w:val="A9C248"/>
            <w:sz w:val="25"/>
            <w:lang w:eastAsia="uk-UA"/>
          </w:rPr>
          <w:t>опублікований</w:t>
        </w:r>
      </w:hyperlink>
      <w:r w:rsidRPr="009115C3">
        <w:rPr>
          <w:rFonts w:ascii="ProximaNova" w:eastAsia="Times New Roman" w:hAnsi="ProximaNova" w:cs="Times New Roman"/>
          <w:color w:val="141414"/>
          <w:sz w:val="25"/>
          <w:szCs w:val="25"/>
          <w:lang w:eastAsia="uk-UA"/>
        </w:rPr>
        <w:t> на сайті МОН.</w:t>
      </w:r>
    </w:p>
    <w:p w:rsidR="009115C3" w:rsidRPr="009115C3" w:rsidRDefault="009115C3" w:rsidP="009115C3">
      <w:pPr>
        <w:spacing w:after="0" w:line="240" w:lineRule="auto"/>
        <w:jc w:val="both"/>
        <w:rPr>
          <w:rFonts w:ascii="ProximaNova" w:eastAsia="Times New Roman" w:hAnsi="ProximaNova" w:cs="Times New Roman"/>
          <w:color w:val="141414"/>
          <w:sz w:val="25"/>
          <w:szCs w:val="25"/>
          <w:lang w:eastAsia="uk-UA"/>
        </w:rPr>
      </w:pPr>
      <w:r w:rsidRPr="009115C3">
        <w:rPr>
          <w:rFonts w:ascii="ProximaNova" w:eastAsia="Times New Roman" w:hAnsi="ProximaNova" w:cs="Times New Roman"/>
          <w:color w:val="141414"/>
          <w:sz w:val="25"/>
          <w:szCs w:val="25"/>
          <w:lang w:eastAsia="uk-UA"/>
        </w:rPr>
        <w:t>Рекомендації стосуються оцінювання учнів 5-9 класів. Відповідно, наказ МОН  </w:t>
      </w:r>
      <w:proofErr w:type="spellStart"/>
      <w:r w:rsidRPr="009115C3">
        <w:rPr>
          <w:rFonts w:ascii="ProximaNova" w:eastAsia="Times New Roman" w:hAnsi="ProximaNova" w:cs="Times New Roman"/>
          <w:color w:val="141414"/>
          <w:sz w:val="25"/>
          <w:szCs w:val="25"/>
          <w:lang w:eastAsia="uk-UA"/>
        </w:rPr>
        <w:t>“Про</w:t>
      </w:r>
      <w:proofErr w:type="spellEnd"/>
      <w:r w:rsidRPr="009115C3">
        <w:rPr>
          <w:rFonts w:ascii="ProximaNova" w:eastAsia="Times New Roman" w:hAnsi="ProximaNova" w:cs="Times New Roman"/>
          <w:color w:val="141414"/>
          <w:sz w:val="25"/>
          <w:szCs w:val="25"/>
          <w:lang w:eastAsia="uk-UA"/>
        </w:rPr>
        <w:t xml:space="preserve"> затвердження методичних рекомендацій щодо оцінювання навчальних досягнень учнів 5-6 класів, які здобувають освіту відповідно до нового Державного стандарту базової середньої </w:t>
      </w:r>
      <w:proofErr w:type="spellStart"/>
      <w:r w:rsidRPr="009115C3">
        <w:rPr>
          <w:rFonts w:ascii="ProximaNova" w:eastAsia="Times New Roman" w:hAnsi="ProximaNova" w:cs="Times New Roman"/>
          <w:color w:val="141414"/>
          <w:sz w:val="25"/>
          <w:szCs w:val="25"/>
          <w:lang w:eastAsia="uk-UA"/>
        </w:rPr>
        <w:t>освіти”</w:t>
      </w:r>
      <w:proofErr w:type="spellEnd"/>
      <w:r w:rsidRPr="009115C3">
        <w:rPr>
          <w:rFonts w:ascii="ProximaNova" w:eastAsia="Times New Roman" w:hAnsi="ProximaNova" w:cs="Times New Roman"/>
          <w:color w:val="141414"/>
          <w:sz w:val="25"/>
          <w:szCs w:val="25"/>
          <w:lang w:eastAsia="uk-UA"/>
        </w:rPr>
        <w:t xml:space="preserve"> втрачає чинність (ідеться про </w:t>
      </w:r>
      <w:hyperlink r:id="rId6" w:tgtFrame="_blank" w:history="1">
        <w:r w:rsidRPr="009115C3">
          <w:rPr>
            <w:rFonts w:ascii="ProximaNova" w:eastAsia="Times New Roman" w:hAnsi="ProximaNova" w:cs="Times New Roman"/>
            <w:color w:val="A9C248"/>
            <w:sz w:val="25"/>
            <w:lang w:eastAsia="uk-UA"/>
          </w:rPr>
          <w:t>наказ №289</w:t>
        </w:r>
      </w:hyperlink>
      <w:r w:rsidRPr="009115C3">
        <w:rPr>
          <w:rFonts w:ascii="ProximaNova" w:eastAsia="Times New Roman" w:hAnsi="ProximaNova" w:cs="Times New Roman"/>
          <w:color w:val="141414"/>
          <w:sz w:val="25"/>
          <w:szCs w:val="25"/>
          <w:lang w:eastAsia="uk-UA"/>
        </w:rPr>
        <w:t> від 1 квітня 2022 року).</w:t>
      </w:r>
    </w:p>
    <w:p w:rsidR="009115C3" w:rsidRPr="009115C3" w:rsidRDefault="009115C3" w:rsidP="009115C3">
      <w:pPr>
        <w:spacing w:after="313" w:line="240" w:lineRule="auto"/>
        <w:jc w:val="both"/>
        <w:rPr>
          <w:rFonts w:ascii="ProximaNova" w:eastAsia="Times New Roman" w:hAnsi="ProximaNova" w:cs="Times New Roman"/>
          <w:color w:val="141414"/>
          <w:sz w:val="25"/>
          <w:szCs w:val="25"/>
          <w:lang w:eastAsia="uk-UA"/>
        </w:rPr>
      </w:pPr>
      <w:r w:rsidRPr="009115C3">
        <w:rPr>
          <w:rFonts w:ascii="ProximaNova" w:eastAsia="Times New Roman" w:hAnsi="ProximaNova" w:cs="Times New Roman"/>
          <w:color w:val="141414"/>
          <w:sz w:val="25"/>
          <w:szCs w:val="25"/>
          <w:lang w:eastAsia="uk-UA"/>
        </w:rPr>
        <w:t>У нових рекомендаціях визначено, що результати навчання – це знання, уміння, навички, ставлення, цінності, набуті в процесі навчання, виховання та розвитку, які можна ідентифікувати, спланувати, виміряти й оцінити та які особа здатна продемонструвати після завершення освітньої програми на кожному рівні (циклі) загальної середньої освіти.</w:t>
      </w:r>
    </w:p>
    <w:p w:rsidR="009115C3" w:rsidRPr="009115C3" w:rsidRDefault="009115C3" w:rsidP="009115C3">
      <w:pPr>
        <w:spacing w:after="0" w:line="240" w:lineRule="auto"/>
        <w:jc w:val="both"/>
        <w:rPr>
          <w:rFonts w:ascii="ProximaNova" w:eastAsia="Times New Roman" w:hAnsi="ProximaNova" w:cs="Times New Roman"/>
          <w:color w:val="141414"/>
          <w:sz w:val="25"/>
          <w:szCs w:val="25"/>
          <w:lang w:eastAsia="uk-UA"/>
        </w:rPr>
      </w:pPr>
      <w:r w:rsidRPr="009115C3">
        <w:rPr>
          <w:rFonts w:ascii="ProximaNova" w:eastAsia="Times New Roman" w:hAnsi="ProximaNova" w:cs="Times New Roman"/>
          <w:color w:val="141414"/>
          <w:sz w:val="25"/>
          <w:szCs w:val="25"/>
          <w:lang w:eastAsia="uk-UA"/>
        </w:rPr>
        <w:t>Також у рекомендаціях описані </w:t>
      </w:r>
      <w:r w:rsidRPr="009115C3">
        <w:rPr>
          <w:rFonts w:ascii="ProximaNova" w:eastAsia="Times New Roman" w:hAnsi="ProximaNova" w:cs="Times New Roman"/>
          <w:b/>
          <w:bCs/>
          <w:color w:val="010101"/>
          <w:sz w:val="25"/>
          <w:lang w:eastAsia="uk-UA"/>
        </w:rPr>
        <w:t>основні функції оцінювання</w:t>
      </w:r>
      <w:r w:rsidRPr="009115C3">
        <w:rPr>
          <w:rFonts w:ascii="ProximaNova" w:eastAsia="Times New Roman" w:hAnsi="ProximaNova" w:cs="Times New Roman"/>
          <w:color w:val="141414"/>
          <w:sz w:val="25"/>
          <w:szCs w:val="25"/>
          <w:lang w:eastAsia="uk-UA"/>
        </w:rPr>
        <w:t>:</w:t>
      </w:r>
    </w:p>
    <w:p w:rsidR="009115C3" w:rsidRPr="009115C3" w:rsidRDefault="009115C3" w:rsidP="009115C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ProximaNova" w:eastAsia="Times New Roman" w:hAnsi="ProximaNova" w:cs="Times New Roman"/>
          <w:color w:val="010101"/>
          <w:sz w:val="25"/>
          <w:szCs w:val="25"/>
          <w:lang w:eastAsia="uk-UA"/>
        </w:rPr>
      </w:pPr>
      <w:r w:rsidRPr="009115C3">
        <w:rPr>
          <w:rFonts w:ascii="ProximaNova" w:eastAsia="Times New Roman" w:hAnsi="ProximaNova" w:cs="Times New Roman"/>
          <w:color w:val="010101"/>
          <w:sz w:val="25"/>
          <w:szCs w:val="25"/>
          <w:lang w:eastAsia="uk-UA"/>
        </w:rPr>
        <w:t>формувальна (забезпечує відстеження динаміки навчального поступу);</w:t>
      </w:r>
    </w:p>
    <w:p w:rsidR="009115C3" w:rsidRPr="009115C3" w:rsidRDefault="009115C3" w:rsidP="009115C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ProximaNova" w:eastAsia="Times New Roman" w:hAnsi="ProximaNova" w:cs="Times New Roman"/>
          <w:color w:val="010101"/>
          <w:sz w:val="25"/>
          <w:szCs w:val="25"/>
          <w:lang w:eastAsia="uk-UA"/>
        </w:rPr>
      </w:pPr>
      <w:proofErr w:type="spellStart"/>
      <w:r w:rsidRPr="009115C3">
        <w:rPr>
          <w:rFonts w:ascii="ProximaNova" w:eastAsia="Times New Roman" w:hAnsi="ProximaNova" w:cs="Times New Roman"/>
          <w:color w:val="010101"/>
          <w:sz w:val="25"/>
          <w:szCs w:val="25"/>
          <w:lang w:eastAsia="uk-UA"/>
        </w:rPr>
        <w:t>констатувальна</w:t>
      </w:r>
      <w:proofErr w:type="spellEnd"/>
      <w:r w:rsidRPr="009115C3">
        <w:rPr>
          <w:rFonts w:ascii="ProximaNova" w:eastAsia="Times New Roman" w:hAnsi="ProximaNova" w:cs="Times New Roman"/>
          <w:color w:val="010101"/>
          <w:sz w:val="25"/>
          <w:szCs w:val="25"/>
          <w:lang w:eastAsia="uk-UA"/>
        </w:rPr>
        <w:t xml:space="preserve"> (забезпечує встановлення рівня досягнення результатів навчання);</w:t>
      </w:r>
    </w:p>
    <w:p w:rsidR="009115C3" w:rsidRPr="009115C3" w:rsidRDefault="009115C3" w:rsidP="009115C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ProximaNova" w:eastAsia="Times New Roman" w:hAnsi="ProximaNova" w:cs="Times New Roman"/>
          <w:color w:val="010101"/>
          <w:sz w:val="25"/>
          <w:szCs w:val="25"/>
          <w:lang w:eastAsia="uk-UA"/>
        </w:rPr>
      </w:pPr>
      <w:proofErr w:type="spellStart"/>
      <w:r w:rsidRPr="009115C3">
        <w:rPr>
          <w:rFonts w:ascii="ProximaNova" w:eastAsia="Times New Roman" w:hAnsi="ProximaNova" w:cs="Times New Roman"/>
          <w:color w:val="010101"/>
          <w:sz w:val="25"/>
          <w:szCs w:val="25"/>
          <w:lang w:eastAsia="uk-UA"/>
        </w:rPr>
        <w:t>діагностувальна</w:t>
      </w:r>
      <w:proofErr w:type="spellEnd"/>
      <w:r w:rsidRPr="009115C3">
        <w:rPr>
          <w:rFonts w:ascii="ProximaNova" w:eastAsia="Times New Roman" w:hAnsi="ProximaNova" w:cs="Times New Roman"/>
          <w:color w:val="010101"/>
          <w:sz w:val="25"/>
          <w:szCs w:val="25"/>
          <w:lang w:eastAsia="uk-UA"/>
        </w:rPr>
        <w:t xml:space="preserve"> (надає інформацію про стан досягнення результатів навчання, наявність навчальних втрат, причини виникнення утруднень);</w:t>
      </w:r>
    </w:p>
    <w:p w:rsidR="009115C3" w:rsidRPr="009115C3" w:rsidRDefault="009115C3" w:rsidP="009115C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ProximaNova" w:eastAsia="Times New Roman" w:hAnsi="ProximaNova" w:cs="Times New Roman"/>
          <w:color w:val="010101"/>
          <w:sz w:val="25"/>
          <w:szCs w:val="25"/>
          <w:lang w:eastAsia="uk-UA"/>
        </w:rPr>
      </w:pPr>
      <w:r w:rsidRPr="009115C3">
        <w:rPr>
          <w:rFonts w:ascii="ProximaNova" w:eastAsia="Times New Roman" w:hAnsi="ProximaNova" w:cs="Times New Roman"/>
          <w:color w:val="010101"/>
          <w:sz w:val="25"/>
          <w:szCs w:val="25"/>
          <w:lang w:eastAsia="uk-UA"/>
        </w:rPr>
        <w:t>коригувальна (надає змогу вчителю відповідним чином адаптувати освітній процес);</w:t>
      </w:r>
    </w:p>
    <w:p w:rsidR="009115C3" w:rsidRPr="009115C3" w:rsidRDefault="009115C3" w:rsidP="009115C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ProximaNova" w:eastAsia="Times New Roman" w:hAnsi="ProximaNova" w:cs="Times New Roman"/>
          <w:color w:val="010101"/>
          <w:sz w:val="25"/>
          <w:szCs w:val="25"/>
          <w:lang w:eastAsia="uk-UA"/>
        </w:rPr>
      </w:pPr>
      <w:r w:rsidRPr="009115C3">
        <w:rPr>
          <w:rFonts w:ascii="ProximaNova" w:eastAsia="Times New Roman" w:hAnsi="ProximaNova" w:cs="Times New Roman"/>
          <w:color w:val="010101"/>
          <w:sz w:val="25"/>
          <w:szCs w:val="25"/>
          <w:lang w:eastAsia="uk-UA"/>
        </w:rPr>
        <w:t>орієнтувальна (надає змогу відстежити динаміку формування результатів навчання та спрогнозувати їх розвиток);</w:t>
      </w:r>
    </w:p>
    <w:p w:rsidR="009115C3" w:rsidRPr="009115C3" w:rsidRDefault="009115C3" w:rsidP="009115C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ProximaNova" w:eastAsia="Times New Roman" w:hAnsi="ProximaNova" w:cs="Times New Roman"/>
          <w:color w:val="010101"/>
          <w:sz w:val="25"/>
          <w:szCs w:val="25"/>
          <w:lang w:eastAsia="uk-UA"/>
        </w:rPr>
      </w:pPr>
      <w:proofErr w:type="spellStart"/>
      <w:r w:rsidRPr="009115C3">
        <w:rPr>
          <w:rFonts w:ascii="ProximaNova" w:eastAsia="Times New Roman" w:hAnsi="ProximaNova" w:cs="Times New Roman"/>
          <w:color w:val="010101"/>
          <w:sz w:val="25"/>
          <w:szCs w:val="25"/>
          <w:lang w:eastAsia="uk-UA"/>
        </w:rPr>
        <w:t>мотиваційно-стимулювальна</w:t>
      </w:r>
      <w:proofErr w:type="spellEnd"/>
      <w:r w:rsidRPr="009115C3">
        <w:rPr>
          <w:rFonts w:ascii="ProximaNova" w:eastAsia="Times New Roman" w:hAnsi="ProximaNova" w:cs="Times New Roman"/>
          <w:color w:val="010101"/>
          <w:sz w:val="25"/>
          <w:szCs w:val="25"/>
          <w:lang w:eastAsia="uk-UA"/>
        </w:rPr>
        <w:t xml:space="preserve"> (активізує внутрішні й зовнішні мотиви до навчання);</w:t>
      </w:r>
    </w:p>
    <w:p w:rsidR="009115C3" w:rsidRPr="009115C3" w:rsidRDefault="009115C3" w:rsidP="009115C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ProximaNova" w:eastAsia="Times New Roman" w:hAnsi="ProximaNova" w:cs="Times New Roman"/>
          <w:color w:val="010101"/>
          <w:sz w:val="25"/>
          <w:szCs w:val="25"/>
          <w:lang w:eastAsia="uk-UA"/>
        </w:rPr>
      </w:pPr>
      <w:r w:rsidRPr="009115C3">
        <w:rPr>
          <w:rFonts w:ascii="ProximaNova" w:eastAsia="Times New Roman" w:hAnsi="ProximaNova" w:cs="Times New Roman"/>
          <w:color w:val="010101"/>
          <w:sz w:val="25"/>
          <w:szCs w:val="25"/>
          <w:lang w:eastAsia="uk-UA"/>
        </w:rPr>
        <w:t>розвивальна (мотивує до рефлексії та самовдосконалення);</w:t>
      </w:r>
    </w:p>
    <w:p w:rsidR="009115C3" w:rsidRPr="009115C3" w:rsidRDefault="009115C3" w:rsidP="009115C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ProximaNova" w:eastAsia="Times New Roman" w:hAnsi="ProximaNova" w:cs="Times New Roman"/>
          <w:color w:val="010101"/>
          <w:sz w:val="25"/>
          <w:szCs w:val="25"/>
          <w:lang w:eastAsia="uk-UA"/>
        </w:rPr>
      </w:pPr>
      <w:r w:rsidRPr="009115C3">
        <w:rPr>
          <w:rFonts w:ascii="ProximaNova" w:eastAsia="Times New Roman" w:hAnsi="ProximaNova" w:cs="Times New Roman"/>
          <w:color w:val="010101"/>
          <w:sz w:val="25"/>
          <w:szCs w:val="25"/>
          <w:lang w:eastAsia="uk-UA"/>
        </w:rPr>
        <w:t>прогностична (ставить цілі навчання на майбутнє);</w:t>
      </w:r>
    </w:p>
    <w:p w:rsidR="009115C3" w:rsidRPr="009115C3" w:rsidRDefault="009115C3" w:rsidP="009115C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ProximaNova" w:eastAsia="Times New Roman" w:hAnsi="ProximaNova" w:cs="Times New Roman"/>
          <w:color w:val="010101"/>
          <w:sz w:val="25"/>
          <w:szCs w:val="25"/>
          <w:lang w:eastAsia="uk-UA"/>
        </w:rPr>
      </w:pPr>
      <w:r w:rsidRPr="009115C3">
        <w:rPr>
          <w:rFonts w:ascii="ProximaNova" w:eastAsia="Times New Roman" w:hAnsi="ProximaNova" w:cs="Times New Roman"/>
          <w:color w:val="010101"/>
          <w:sz w:val="25"/>
          <w:szCs w:val="25"/>
          <w:lang w:eastAsia="uk-UA"/>
        </w:rPr>
        <w:t>виховна (сприяє вихованню в учнів свідомої дисципліни, наполегливості в роботі, працьовитості, почуття відповідальності, обов’язку).</w:t>
      </w:r>
    </w:p>
    <w:p w:rsidR="009115C3" w:rsidRPr="009115C3" w:rsidRDefault="009115C3" w:rsidP="009115C3">
      <w:pPr>
        <w:spacing w:after="0" w:line="240" w:lineRule="auto"/>
        <w:jc w:val="both"/>
        <w:rPr>
          <w:rFonts w:ascii="ProximaNova" w:eastAsia="Times New Roman" w:hAnsi="ProximaNova" w:cs="Times New Roman"/>
          <w:color w:val="141414"/>
          <w:sz w:val="25"/>
          <w:szCs w:val="25"/>
          <w:lang w:eastAsia="uk-UA"/>
        </w:rPr>
      </w:pPr>
      <w:r w:rsidRPr="009115C3">
        <w:rPr>
          <w:rFonts w:ascii="ProximaNova" w:eastAsia="Times New Roman" w:hAnsi="ProximaNova" w:cs="Times New Roman"/>
          <w:color w:val="141414"/>
          <w:sz w:val="25"/>
          <w:szCs w:val="25"/>
          <w:lang w:eastAsia="uk-UA"/>
        </w:rPr>
        <w:t>Відповідно до рекомендацій, </w:t>
      </w:r>
      <w:r w:rsidRPr="009115C3">
        <w:rPr>
          <w:rFonts w:ascii="ProximaNova" w:eastAsia="Times New Roman" w:hAnsi="ProximaNova" w:cs="Times New Roman"/>
          <w:b/>
          <w:bCs/>
          <w:color w:val="010101"/>
          <w:sz w:val="25"/>
          <w:lang w:eastAsia="uk-UA"/>
        </w:rPr>
        <w:t>основними видами оцінювання</w:t>
      </w:r>
      <w:r w:rsidRPr="009115C3">
        <w:rPr>
          <w:rFonts w:ascii="ProximaNova" w:eastAsia="Times New Roman" w:hAnsi="ProximaNova" w:cs="Times New Roman"/>
          <w:color w:val="141414"/>
          <w:sz w:val="25"/>
          <w:szCs w:val="25"/>
          <w:lang w:eastAsia="uk-UA"/>
        </w:rPr>
        <w:t> результатів навчання учнів є формувальне оцінювання, підсумкове оцінювання та державна підсумкова атестація.</w:t>
      </w:r>
    </w:p>
    <w:p w:rsidR="009115C3" w:rsidRPr="009115C3" w:rsidRDefault="009115C3" w:rsidP="009115C3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ProximaNova" w:eastAsia="Times New Roman" w:hAnsi="ProximaNova" w:cs="Times New Roman"/>
          <w:color w:val="010101"/>
          <w:sz w:val="25"/>
          <w:szCs w:val="25"/>
          <w:lang w:eastAsia="uk-UA"/>
        </w:rPr>
      </w:pPr>
      <w:r w:rsidRPr="009115C3">
        <w:rPr>
          <w:rFonts w:ascii="ProximaNova" w:eastAsia="Times New Roman" w:hAnsi="ProximaNova" w:cs="Times New Roman"/>
          <w:color w:val="010101"/>
          <w:sz w:val="25"/>
          <w:szCs w:val="25"/>
          <w:lang w:eastAsia="uk-UA"/>
        </w:rPr>
        <w:t>Формувальне оцінювання спрямоване на відстеження динаміки навчального поступу учнів, визначення їхніх навчальних (освітніх) потреб і скерування освітнього процесу на підвищення ефективності навчання з урахуванням встановлених результатів навчання.</w:t>
      </w:r>
    </w:p>
    <w:p w:rsidR="009115C3" w:rsidRPr="009115C3" w:rsidRDefault="009115C3" w:rsidP="009115C3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ProximaNova" w:eastAsia="Times New Roman" w:hAnsi="ProximaNova" w:cs="Times New Roman"/>
          <w:color w:val="010101"/>
          <w:sz w:val="25"/>
          <w:szCs w:val="25"/>
          <w:lang w:eastAsia="uk-UA"/>
        </w:rPr>
      </w:pPr>
      <w:r w:rsidRPr="009115C3">
        <w:rPr>
          <w:rFonts w:ascii="ProximaNova" w:eastAsia="Times New Roman" w:hAnsi="ProximaNova" w:cs="Times New Roman"/>
          <w:color w:val="010101"/>
          <w:sz w:val="25"/>
          <w:szCs w:val="25"/>
          <w:lang w:eastAsia="uk-UA"/>
        </w:rPr>
        <w:t>Підсумкове оцінювання показує результат навчання та розвитку.</w:t>
      </w:r>
    </w:p>
    <w:p w:rsidR="009115C3" w:rsidRDefault="009115C3" w:rsidP="009115C3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ProximaNova" w:eastAsia="Times New Roman" w:hAnsi="ProximaNova" w:cs="Times New Roman"/>
          <w:color w:val="010101"/>
          <w:sz w:val="25"/>
          <w:szCs w:val="25"/>
          <w:lang w:eastAsia="uk-UA"/>
        </w:rPr>
      </w:pPr>
      <w:r w:rsidRPr="009115C3">
        <w:rPr>
          <w:rFonts w:ascii="ProximaNova" w:eastAsia="Times New Roman" w:hAnsi="ProximaNova" w:cs="Times New Roman"/>
          <w:color w:val="010101"/>
          <w:sz w:val="25"/>
          <w:szCs w:val="25"/>
          <w:lang w:eastAsia="uk-UA"/>
        </w:rPr>
        <w:t>Державна підсумкова атестація передбачає оцінювання відповідності результатів навчання учнів, які завершили здобуття базової середньої освіти, вимогам Державного стандарту.</w:t>
      </w:r>
    </w:p>
    <w:p w:rsidR="009115C3" w:rsidRPr="009115C3" w:rsidRDefault="009115C3" w:rsidP="009115C3">
      <w:pPr>
        <w:spacing w:after="0" w:line="240" w:lineRule="auto"/>
        <w:jc w:val="both"/>
        <w:rPr>
          <w:rFonts w:ascii="ProximaNova" w:eastAsia="Times New Roman" w:hAnsi="ProximaNova" w:cs="Times New Roman"/>
          <w:color w:val="010101"/>
          <w:sz w:val="25"/>
          <w:szCs w:val="25"/>
          <w:lang w:eastAsia="uk-UA"/>
        </w:rPr>
      </w:pPr>
    </w:p>
    <w:p w:rsidR="009115C3" w:rsidRPr="009115C3" w:rsidRDefault="009115C3" w:rsidP="009115C3">
      <w:pPr>
        <w:spacing w:after="0" w:line="240" w:lineRule="auto"/>
        <w:ind w:firstLine="708"/>
        <w:jc w:val="both"/>
        <w:rPr>
          <w:rFonts w:ascii="ProximaNova" w:eastAsia="Times New Roman" w:hAnsi="ProximaNova" w:cs="Times New Roman"/>
          <w:color w:val="141414"/>
          <w:sz w:val="25"/>
          <w:szCs w:val="25"/>
          <w:lang w:eastAsia="uk-UA"/>
        </w:rPr>
      </w:pPr>
      <w:r w:rsidRPr="009115C3">
        <w:rPr>
          <w:rFonts w:ascii="ProximaNova" w:eastAsia="Times New Roman" w:hAnsi="ProximaNova" w:cs="Times New Roman"/>
          <w:color w:val="141414"/>
          <w:sz w:val="25"/>
          <w:szCs w:val="25"/>
          <w:lang w:eastAsia="uk-UA"/>
        </w:rPr>
        <w:t>У додатках до рекомендацій окреслені </w:t>
      </w:r>
      <w:r w:rsidRPr="009115C3">
        <w:rPr>
          <w:rFonts w:ascii="ProximaNova" w:eastAsia="Times New Roman" w:hAnsi="ProximaNova" w:cs="Times New Roman"/>
          <w:b/>
          <w:bCs/>
          <w:color w:val="010101"/>
          <w:sz w:val="25"/>
          <w:lang w:eastAsia="uk-UA"/>
        </w:rPr>
        <w:t>загальні критерії оцінювання</w:t>
      </w:r>
      <w:r w:rsidRPr="009115C3">
        <w:rPr>
          <w:rFonts w:ascii="ProximaNova" w:eastAsia="Times New Roman" w:hAnsi="ProximaNova" w:cs="Times New Roman"/>
          <w:color w:val="141414"/>
          <w:sz w:val="25"/>
          <w:szCs w:val="25"/>
          <w:lang w:eastAsia="uk-UA"/>
        </w:rPr>
        <w:t>, які визначають загальні підходи до встановлення результатів навчання учнів, та </w:t>
      </w:r>
      <w:r w:rsidRPr="009115C3">
        <w:rPr>
          <w:rFonts w:ascii="ProximaNova" w:eastAsia="Times New Roman" w:hAnsi="ProximaNova" w:cs="Times New Roman"/>
          <w:b/>
          <w:bCs/>
          <w:color w:val="010101"/>
          <w:sz w:val="25"/>
          <w:lang w:eastAsia="uk-UA"/>
        </w:rPr>
        <w:t>критерії оцінювання за освітніми галузями.</w:t>
      </w:r>
    </w:p>
    <w:p w:rsidR="009115C3" w:rsidRPr="009115C3" w:rsidRDefault="009115C3" w:rsidP="009115C3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ProximaNova" w:eastAsia="Times New Roman" w:hAnsi="ProximaNova" w:cs="Times New Roman"/>
          <w:color w:val="010101"/>
          <w:sz w:val="25"/>
          <w:szCs w:val="25"/>
          <w:lang w:eastAsia="uk-UA"/>
        </w:rPr>
      </w:pPr>
      <w:r w:rsidRPr="009115C3">
        <w:rPr>
          <w:rFonts w:ascii="ProximaNova" w:eastAsia="Times New Roman" w:hAnsi="ProximaNova" w:cs="Times New Roman"/>
          <w:color w:val="010101"/>
          <w:sz w:val="25"/>
          <w:szCs w:val="25"/>
          <w:lang w:eastAsia="uk-UA"/>
        </w:rPr>
        <w:t>Критерії оцінювання реалізуються за чотирма рівнями (початковий, середній, достатній, високий).</w:t>
      </w:r>
    </w:p>
    <w:p w:rsidR="009115C3" w:rsidRPr="009115C3" w:rsidRDefault="009115C3" w:rsidP="009115C3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ProximaNova" w:eastAsia="Times New Roman" w:hAnsi="ProximaNova" w:cs="Times New Roman"/>
          <w:color w:val="010101"/>
          <w:sz w:val="25"/>
          <w:szCs w:val="25"/>
          <w:lang w:eastAsia="uk-UA"/>
        </w:rPr>
      </w:pPr>
      <w:r w:rsidRPr="009115C3">
        <w:rPr>
          <w:rFonts w:ascii="ProximaNova" w:eastAsia="Times New Roman" w:hAnsi="ProximaNova" w:cs="Times New Roman"/>
          <w:color w:val="010101"/>
          <w:sz w:val="25"/>
          <w:szCs w:val="25"/>
          <w:lang w:eastAsia="uk-UA"/>
        </w:rPr>
        <w:t>Кожний наступний рівень охоплює вимоги до попереднього, а також додає нові.</w:t>
      </w:r>
    </w:p>
    <w:p w:rsidR="009115C3" w:rsidRPr="009115C3" w:rsidRDefault="009115C3" w:rsidP="009115C3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ProximaNova" w:eastAsia="Times New Roman" w:hAnsi="ProximaNova" w:cs="Times New Roman"/>
          <w:color w:val="010101"/>
          <w:sz w:val="25"/>
          <w:szCs w:val="25"/>
          <w:lang w:eastAsia="uk-UA"/>
        </w:rPr>
      </w:pPr>
      <w:r w:rsidRPr="009115C3">
        <w:rPr>
          <w:rFonts w:ascii="ProximaNova" w:eastAsia="Times New Roman" w:hAnsi="ProximaNova" w:cs="Times New Roman"/>
          <w:color w:val="010101"/>
          <w:sz w:val="25"/>
          <w:szCs w:val="25"/>
          <w:lang w:eastAsia="uk-UA"/>
        </w:rPr>
        <w:t>Критерії оцінювання дають змогу здійснювати оцінювання результатів навчання у 12-бальній шкалі оцінювання.</w:t>
      </w:r>
    </w:p>
    <w:p w:rsidR="009115C3" w:rsidRPr="009115C3" w:rsidRDefault="009115C3" w:rsidP="009115C3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ProximaNova" w:eastAsia="Times New Roman" w:hAnsi="ProximaNova" w:cs="Times New Roman"/>
          <w:color w:val="010101"/>
          <w:sz w:val="25"/>
          <w:szCs w:val="25"/>
          <w:lang w:eastAsia="uk-UA"/>
        </w:rPr>
      </w:pPr>
      <w:r w:rsidRPr="009115C3">
        <w:rPr>
          <w:rFonts w:ascii="ProximaNova" w:eastAsia="Times New Roman" w:hAnsi="ProximaNova" w:cs="Times New Roman"/>
          <w:color w:val="010101"/>
          <w:sz w:val="25"/>
          <w:szCs w:val="25"/>
          <w:lang w:eastAsia="uk-UA"/>
        </w:rPr>
        <w:t>За вибором закладу освіти оцінювання може здійснюватися за власного шкалою оцінювання результатів навчання учнів. У разі запровадження закладом освіти власної шкали оцінювання результатів навчання учнів ним мають бути визначені правила переведення до 12-бальної шкали оцінювання.</w:t>
      </w:r>
    </w:p>
    <w:p w:rsidR="009115C3" w:rsidRPr="009115C3" w:rsidRDefault="009115C3" w:rsidP="009115C3">
      <w:pPr>
        <w:spacing w:after="0" w:line="240" w:lineRule="auto"/>
        <w:ind w:firstLine="391"/>
        <w:jc w:val="both"/>
        <w:rPr>
          <w:rFonts w:ascii="ProximaNova" w:eastAsia="Times New Roman" w:hAnsi="ProximaNova" w:cs="Times New Roman"/>
          <w:color w:val="141414"/>
          <w:sz w:val="25"/>
          <w:szCs w:val="25"/>
          <w:lang w:eastAsia="uk-UA"/>
        </w:rPr>
      </w:pPr>
      <w:r w:rsidRPr="009115C3">
        <w:rPr>
          <w:rFonts w:ascii="ProximaNova" w:eastAsia="Times New Roman" w:hAnsi="ProximaNova" w:cs="Times New Roman"/>
          <w:color w:val="141414"/>
          <w:sz w:val="25"/>
          <w:szCs w:val="25"/>
          <w:lang w:eastAsia="uk-UA"/>
        </w:rPr>
        <w:t>Як ідеться у рекомендаціях, </w:t>
      </w:r>
      <w:r w:rsidRPr="009115C3">
        <w:rPr>
          <w:rFonts w:ascii="ProximaNova" w:eastAsia="Times New Roman" w:hAnsi="ProximaNova" w:cs="Times New Roman"/>
          <w:b/>
          <w:bCs/>
          <w:color w:val="010101"/>
          <w:sz w:val="25"/>
          <w:lang w:eastAsia="uk-UA"/>
        </w:rPr>
        <w:t>свідоцтво досягнень складається з двох частин</w:t>
      </w:r>
      <w:r w:rsidRPr="009115C3">
        <w:rPr>
          <w:rFonts w:ascii="ProximaNova" w:eastAsia="Times New Roman" w:hAnsi="ProximaNova" w:cs="Times New Roman"/>
          <w:color w:val="141414"/>
          <w:sz w:val="25"/>
          <w:szCs w:val="25"/>
          <w:lang w:eastAsia="uk-UA"/>
        </w:rPr>
        <w:t>.</w:t>
      </w:r>
    </w:p>
    <w:p w:rsidR="009115C3" w:rsidRPr="009115C3" w:rsidRDefault="009115C3" w:rsidP="009115C3">
      <w:pPr>
        <w:numPr>
          <w:ilvl w:val="0"/>
          <w:numId w:val="4"/>
        </w:numPr>
        <w:spacing w:after="501" w:line="240" w:lineRule="auto"/>
        <w:ind w:left="751" w:right="751"/>
        <w:jc w:val="both"/>
        <w:rPr>
          <w:rFonts w:ascii="ProximaNova" w:eastAsia="Times New Roman" w:hAnsi="ProximaNova" w:cs="Times New Roman"/>
          <w:color w:val="010101"/>
          <w:sz w:val="25"/>
          <w:szCs w:val="25"/>
          <w:lang w:eastAsia="uk-UA"/>
        </w:rPr>
      </w:pPr>
      <w:proofErr w:type="spellStart"/>
      <w:r w:rsidRPr="009115C3">
        <w:rPr>
          <w:rFonts w:ascii="ProximaNova" w:eastAsia="Times New Roman" w:hAnsi="ProximaNova" w:cs="Times New Roman"/>
          <w:color w:val="010101"/>
          <w:sz w:val="25"/>
          <w:szCs w:val="25"/>
          <w:lang w:eastAsia="uk-UA"/>
        </w:rPr>
        <w:t>“Характеристика</w:t>
      </w:r>
      <w:proofErr w:type="spellEnd"/>
      <w:r w:rsidRPr="009115C3">
        <w:rPr>
          <w:rFonts w:ascii="ProximaNova" w:eastAsia="Times New Roman" w:hAnsi="ProximaNova" w:cs="Times New Roman"/>
          <w:color w:val="010101"/>
          <w:sz w:val="25"/>
          <w:szCs w:val="25"/>
          <w:lang w:eastAsia="uk-UA"/>
        </w:rPr>
        <w:t xml:space="preserve"> навчальної </w:t>
      </w:r>
      <w:proofErr w:type="spellStart"/>
      <w:r w:rsidRPr="009115C3">
        <w:rPr>
          <w:rFonts w:ascii="ProximaNova" w:eastAsia="Times New Roman" w:hAnsi="ProximaNova" w:cs="Times New Roman"/>
          <w:color w:val="010101"/>
          <w:sz w:val="25"/>
          <w:szCs w:val="25"/>
          <w:lang w:eastAsia="uk-UA"/>
        </w:rPr>
        <w:t>діяльності”</w:t>
      </w:r>
      <w:proofErr w:type="spellEnd"/>
      <w:r w:rsidRPr="009115C3">
        <w:rPr>
          <w:rFonts w:ascii="ProximaNova" w:eastAsia="Times New Roman" w:hAnsi="ProximaNova" w:cs="Times New Roman"/>
          <w:color w:val="010101"/>
          <w:sz w:val="25"/>
          <w:szCs w:val="25"/>
          <w:lang w:eastAsia="uk-UA"/>
        </w:rPr>
        <w:t>, яка сформована відповідно до переліку наскрізних умінь, визначених Державним стандартом.</w:t>
      </w:r>
    </w:p>
    <w:p w:rsidR="009115C3" w:rsidRPr="009115C3" w:rsidRDefault="009115C3" w:rsidP="009115C3">
      <w:pPr>
        <w:spacing w:after="313" w:line="240" w:lineRule="auto"/>
        <w:jc w:val="both"/>
        <w:rPr>
          <w:rFonts w:ascii="ProximaNova" w:eastAsia="Times New Roman" w:hAnsi="ProximaNova" w:cs="Times New Roman"/>
          <w:color w:val="141414"/>
          <w:sz w:val="25"/>
          <w:szCs w:val="25"/>
          <w:lang w:eastAsia="uk-UA"/>
        </w:rPr>
      </w:pPr>
      <w:r w:rsidRPr="009115C3">
        <w:rPr>
          <w:rFonts w:ascii="ProximaNova" w:eastAsia="Times New Roman" w:hAnsi="ProximaNova" w:cs="Times New Roman"/>
          <w:color w:val="141414"/>
          <w:sz w:val="25"/>
          <w:szCs w:val="25"/>
          <w:lang w:eastAsia="uk-UA"/>
        </w:rPr>
        <w:lastRenderedPageBreak/>
        <w:t xml:space="preserve">Результатом спостереження за розвитком наскрізних умінь є виставлення відповідної позначки в стовпці </w:t>
      </w:r>
      <w:proofErr w:type="spellStart"/>
      <w:r w:rsidRPr="009115C3">
        <w:rPr>
          <w:rFonts w:ascii="ProximaNova" w:eastAsia="Times New Roman" w:hAnsi="ProximaNova" w:cs="Times New Roman"/>
          <w:color w:val="141414"/>
          <w:sz w:val="25"/>
          <w:szCs w:val="25"/>
          <w:lang w:eastAsia="uk-UA"/>
        </w:rPr>
        <w:t>“Має</w:t>
      </w:r>
      <w:proofErr w:type="spellEnd"/>
      <w:r w:rsidRPr="009115C3">
        <w:rPr>
          <w:rFonts w:ascii="ProximaNova" w:eastAsia="Times New Roman" w:hAnsi="ProximaNova" w:cs="Times New Roman"/>
          <w:color w:val="141414"/>
          <w:sz w:val="25"/>
          <w:szCs w:val="25"/>
          <w:lang w:eastAsia="uk-UA"/>
        </w:rPr>
        <w:t xml:space="preserve"> значні успіхи / Демонструє помітний прогрес / Потребує уваги і </w:t>
      </w:r>
      <w:proofErr w:type="spellStart"/>
      <w:r w:rsidRPr="009115C3">
        <w:rPr>
          <w:rFonts w:ascii="ProximaNova" w:eastAsia="Times New Roman" w:hAnsi="ProximaNova" w:cs="Times New Roman"/>
          <w:color w:val="141414"/>
          <w:sz w:val="25"/>
          <w:szCs w:val="25"/>
          <w:lang w:eastAsia="uk-UA"/>
        </w:rPr>
        <w:t>допомоги”</w:t>
      </w:r>
      <w:proofErr w:type="spellEnd"/>
      <w:r w:rsidRPr="009115C3">
        <w:rPr>
          <w:rFonts w:ascii="ProximaNova" w:eastAsia="Times New Roman" w:hAnsi="ProximaNova" w:cs="Times New Roman"/>
          <w:color w:val="141414"/>
          <w:sz w:val="25"/>
          <w:szCs w:val="25"/>
          <w:lang w:eastAsia="uk-UA"/>
        </w:rPr>
        <w:t xml:space="preserve"> після завершення кожного навчального року або в разі зміни учнями закладу освіти.</w:t>
      </w:r>
    </w:p>
    <w:p w:rsidR="009115C3" w:rsidRPr="009115C3" w:rsidRDefault="009115C3" w:rsidP="009115C3">
      <w:pPr>
        <w:spacing w:after="313" w:line="240" w:lineRule="auto"/>
        <w:ind w:firstLine="708"/>
        <w:jc w:val="both"/>
        <w:rPr>
          <w:rFonts w:ascii="ProximaNova" w:eastAsia="Times New Roman" w:hAnsi="ProximaNova" w:cs="Times New Roman"/>
          <w:color w:val="141414"/>
          <w:sz w:val="25"/>
          <w:szCs w:val="25"/>
          <w:lang w:eastAsia="uk-UA"/>
        </w:rPr>
      </w:pPr>
      <w:r w:rsidRPr="009115C3">
        <w:rPr>
          <w:rFonts w:ascii="ProximaNova" w:eastAsia="Times New Roman" w:hAnsi="ProximaNova" w:cs="Times New Roman"/>
          <w:color w:val="141414"/>
          <w:sz w:val="25"/>
          <w:szCs w:val="25"/>
          <w:lang w:eastAsia="uk-UA"/>
        </w:rPr>
        <w:t>Способи організації фіксування результатів спостереження педагогічні колективи закладів освіти визначають самостійно.</w:t>
      </w:r>
    </w:p>
    <w:p w:rsidR="009115C3" w:rsidRPr="009115C3" w:rsidRDefault="009115C3" w:rsidP="009115C3">
      <w:pPr>
        <w:numPr>
          <w:ilvl w:val="0"/>
          <w:numId w:val="5"/>
        </w:numPr>
        <w:spacing w:after="501" w:line="240" w:lineRule="auto"/>
        <w:ind w:right="751"/>
        <w:jc w:val="both"/>
        <w:rPr>
          <w:rFonts w:ascii="ProximaNova" w:eastAsia="Times New Roman" w:hAnsi="ProximaNova" w:cs="Times New Roman"/>
          <w:color w:val="010101"/>
          <w:sz w:val="25"/>
          <w:szCs w:val="25"/>
          <w:lang w:eastAsia="uk-UA"/>
        </w:rPr>
      </w:pPr>
      <w:proofErr w:type="spellStart"/>
      <w:r w:rsidRPr="009115C3">
        <w:rPr>
          <w:rFonts w:ascii="ProximaNova" w:eastAsia="Times New Roman" w:hAnsi="ProximaNova" w:cs="Times New Roman"/>
          <w:color w:val="010101"/>
          <w:sz w:val="25"/>
          <w:szCs w:val="25"/>
          <w:lang w:eastAsia="uk-UA"/>
        </w:rPr>
        <w:t>“Характеристика</w:t>
      </w:r>
      <w:proofErr w:type="spellEnd"/>
      <w:r w:rsidRPr="009115C3">
        <w:rPr>
          <w:rFonts w:ascii="ProximaNova" w:eastAsia="Times New Roman" w:hAnsi="ProximaNova" w:cs="Times New Roman"/>
          <w:color w:val="010101"/>
          <w:sz w:val="25"/>
          <w:szCs w:val="25"/>
          <w:lang w:eastAsia="uk-UA"/>
        </w:rPr>
        <w:t xml:space="preserve"> результатів </w:t>
      </w:r>
      <w:proofErr w:type="spellStart"/>
      <w:r w:rsidRPr="009115C3">
        <w:rPr>
          <w:rFonts w:ascii="ProximaNova" w:eastAsia="Times New Roman" w:hAnsi="ProximaNova" w:cs="Times New Roman"/>
          <w:color w:val="010101"/>
          <w:sz w:val="25"/>
          <w:szCs w:val="25"/>
          <w:lang w:eastAsia="uk-UA"/>
        </w:rPr>
        <w:t>навчання”</w:t>
      </w:r>
      <w:proofErr w:type="spellEnd"/>
      <w:r w:rsidRPr="009115C3">
        <w:rPr>
          <w:rFonts w:ascii="ProximaNova" w:eastAsia="Times New Roman" w:hAnsi="ProximaNova" w:cs="Times New Roman"/>
          <w:color w:val="010101"/>
          <w:sz w:val="25"/>
          <w:szCs w:val="25"/>
          <w:lang w:eastAsia="uk-UA"/>
        </w:rPr>
        <w:t xml:space="preserve"> заповнюється відповідно до переліку навчальних предметів / інтегрованих курсів, визначених затвердженою освітньою програмою закладу освіти.</w:t>
      </w:r>
    </w:p>
    <w:p w:rsidR="00924B8D" w:rsidRDefault="00924B8D" w:rsidP="009115C3">
      <w:pPr>
        <w:spacing w:line="240" w:lineRule="auto"/>
        <w:jc w:val="both"/>
      </w:pPr>
    </w:p>
    <w:sectPr w:rsidR="00924B8D" w:rsidSect="00924B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oximaNov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7501D"/>
    <w:multiLevelType w:val="multilevel"/>
    <w:tmpl w:val="7534C2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735734"/>
    <w:multiLevelType w:val="multilevel"/>
    <w:tmpl w:val="69B25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B76102"/>
    <w:multiLevelType w:val="multilevel"/>
    <w:tmpl w:val="9E547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51709F"/>
    <w:multiLevelType w:val="multilevel"/>
    <w:tmpl w:val="8580E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DE2F74"/>
    <w:multiLevelType w:val="multilevel"/>
    <w:tmpl w:val="181EB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115C3"/>
    <w:rsid w:val="009115C3"/>
    <w:rsid w:val="00924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B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1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9115C3"/>
    <w:rPr>
      <w:color w:val="0000FF"/>
      <w:u w:val="single"/>
    </w:rPr>
  </w:style>
  <w:style w:type="character" w:styleId="a5">
    <w:name w:val="Strong"/>
    <w:basedOn w:val="a0"/>
    <w:uiPriority w:val="22"/>
    <w:qFormat/>
    <w:rsid w:val="009115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9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ushub.org.ua/resource/rekomendacziyi-shhodo-oczinyuvannya-navchalnyh-dosyagnen-uchniv-5-6-klasiv-yaki-zdobuvayut-osvitu-vidpovidno-do-novogo-derzhavnogo-standartu-bazovoyi-serednoyi-osvity-dodatok-do-nakazu-mon-%E2%84%96/" TargetMode="External"/><Relationship Id="rId5" Type="http://schemas.openxmlformats.org/officeDocument/2006/relationships/hyperlink" Target="https://mon.gov.ua/npa/pro-zatverdzhennia-rekomendatsii-shchodo-otsiniuvannia-rezultativ-navchanni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2745</Words>
  <Characters>1566</Characters>
  <Application>Microsoft Office Word</Application>
  <DocSecurity>0</DocSecurity>
  <Lines>13</Lines>
  <Paragraphs>8</Paragraphs>
  <ScaleCrop>false</ScaleCrop>
  <Company/>
  <LinksUpToDate>false</LinksUpToDate>
  <CharactersWithSpaces>4303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Administrator1</dc:creator>
  <cp:keywords/>
  <dc:description/>
  <cp:lastModifiedBy>Administrator1</cp:lastModifiedBy>
  <cp:revision>2</cp:revision>
  <dcterms:created xsi:type="dcterms:W3CDTF">2024-09-18T07:31:00Z</dcterms:created>
  <dcterms:modified xsi:type="dcterms:W3CDTF">2024-09-18T07:33:00Z</dcterms:modified>
</cp:coreProperties>
</file>