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45" w:rsidRPr="00766745" w:rsidRDefault="00766745" w:rsidP="00766745">
      <w:pPr>
        <w:shd w:val="clear" w:color="auto" w:fill="FFFFFF"/>
        <w:spacing w:after="0" w:line="288" w:lineRule="atLeast"/>
        <w:jc w:val="center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</w:pPr>
      <w:r w:rsidRPr="00766745">
        <w:rPr>
          <w:rFonts w:ascii="Cambria" w:eastAsia="Times New Roman" w:hAnsi="Cambria" w:cs="Cambria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ОСОБЛИВОСТІ</w:t>
      </w:r>
      <w:r w:rsidRPr="00766745">
        <w:rPr>
          <w:rFonts w:ascii="MV Boli" w:eastAsia="Times New Roman" w:hAnsi="MV Boli" w:cs="MV Boli"/>
          <w:b/>
          <w:bCs/>
          <w:color w:val="000000"/>
          <w:sz w:val="27"/>
          <w:szCs w:val="27"/>
          <w:bdr w:val="none" w:sz="0" w:space="0" w:color="auto" w:frame="1"/>
        </w:rPr>
        <w:t> </w:t>
      </w:r>
      <w:r w:rsidRPr="00766745">
        <w:rPr>
          <w:rFonts w:ascii="Cambria" w:eastAsia="Times New Roman" w:hAnsi="Cambria" w:cs="Cambria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НМТ</w:t>
      </w:r>
      <w:r w:rsidRPr="00766745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val="ru-RU"/>
        </w:rPr>
        <w:t>-2025</w:t>
      </w:r>
    </w:p>
    <w:p w:rsidR="00766745" w:rsidRPr="00766745" w:rsidRDefault="00766745" w:rsidP="00766745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/>
        </w:rPr>
      </w:pPr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У 2025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році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для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вступу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на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бакалаврський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(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магістерський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– для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медичних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спеціальностей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)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рівень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вищої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освіти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</w:rPr>
        <w:t> 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абітурієнтам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потрібно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</w:t>
      </w:r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буде</w:t>
      </w:r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</w:t>
      </w:r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пройти</w:t>
      </w:r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національний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мультипредметний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</w:t>
      </w:r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тест</w:t>
      </w:r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(</w:t>
      </w:r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НМТ</w:t>
      </w:r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)</w:t>
      </w:r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. В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умовах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війни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НМТ у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комп’ютерній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формі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—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це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найоптимальніший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варіант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проведення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вступних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іспитів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задля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забезпечення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рівних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умов для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всіх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вступників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незалежно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від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їхнього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proofErr w:type="gram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місця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перебування</w:t>
      </w:r>
      <w:proofErr w:type="spellEnd"/>
      <w:proofErr w:type="gram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.</w:t>
      </w:r>
    </w:p>
    <w:p w:rsidR="00766745" w:rsidRPr="00766745" w:rsidRDefault="00766745" w:rsidP="00766745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/>
        </w:rPr>
      </w:pPr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НМТ</w:t>
      </w:r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міститиме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</w:rPr>
        <w:t> 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чотири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тести, три з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яких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—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обов’язкові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а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четвертий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— на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вибір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вступника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.</w:t>
      </w:r>
      <w:r w:rsidRPr="00766745">
        <w:rPr>
          <w:rFonts w:ascii="Tahoma" w:eastAsia="Times New Roman" w:hAnsi="Tahoma" w:cs="Tahoma"/>
          <w:color w:val="000000"/>
          <w:sz w:val="21"/>
          <w:szCs w:val="21"/>
        </w:rPr>
        <w:t> 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Обов</w:t>
      </w:r>
      <w:r w:rsidRPr="00766745">
        <w:rPr>
          <w:rFonts w:ascii="MV Boli" w:eastAsia="Times New Roman" w:hAnsi="MV Boli" w:cs="MV Boli"/>
          <w:b/>
          <w:bCs/>
          <w:color w:val="000000"/>
          <w:sz w:val="21"/>
          <w:szCs w:val="21"/>
          <w:bdr w:val="none" w:sz="0" w:space="0" w:color="auto" w:frame="1"/>
        </w:rPr>
        <w:t>’</w:t>
      </w:r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язкові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навчальні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предмети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766745">
        <w:rPr>
          <w:rFonts w:ascii="MV Boli" w:eastAsia="Times New Roman" w:hAnsi="MV Boli" w:cs="MV Boli"/>
          <w:b/>
          <w:bCs/>
          <w:color w:val="000000"/>
          <w:sz w:val="21"/>
          <w:szCs w:val="21"/>
          <w:bdr w:val="none" w:sz="0" w:space="0" w:color="auto" w:frame="1"/>
        </w:rPr>
        <w:t>—</w:t>
      </w:r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українська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мова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математика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історія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України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а</w:t>
      </w:r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на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вибір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766745">
        <w:rPr>
          <w:rFonts w:ascii="MV Boli" w:eastAsia="Times New Roman" w:hAnsi="MV Boli" w:cs="MV Boli"/>
          <w:b/>
          <w:bCs/>
          <w:color w:val="000000"/>
          <w:sz w:val="21"/>
          <w:szCs w:val="21"/>
          <w:bdr w:val="none" w:sz="0" w:space="0" w:color="auto" w:frame="1"/>
        </w:rPr>
        <w:t>—</w:t>
      </w:r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українська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література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одна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з</w:t>
      </w:r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іноземних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мов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(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англійська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німецька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французька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або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іспанська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),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біологія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хімія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фізика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та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</w:rPr>
        <w:t>географія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</w:rPr>
        <w:t xml:space="preserve">. </w:t>
      </w:r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Предмет,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тестування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з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якого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вступник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/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вступниця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бажає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пройти на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вибір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він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/ вона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має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вказати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під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час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реєстрації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для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участі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в НМТ.</w:t>
      </w:r>
      <w:r w:rsidRPr="00766745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766745" w:rsidRPr="00766745" w:rsidRDefault="00766745" w:rsidP="00766745">
      <w:pPr>
        <w:shd w:val="clear" w:color="auto" w:fill="FFFFFF"/>
        <w:spacing w:after="225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/>
        </w:rPr>
      </w:pPr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Переклад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завдань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з математики,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історії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України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біології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географії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фізики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хімії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для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виконання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сертифікаційної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роботи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здійснюватиметься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кримськотатарською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польською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румунською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угорською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мовами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.</w:t>
      </w:r>
    </w:p>
    <w:p w:rsidR="00766745" w:rsidRPr="00766745" w:rsidRDefault="00766745" w:rsidP="00766745">
      <w:pPr>
        <w:shd w:val="clear" w:color="auto" w:fill="FFFFFF"/>
        <w:spacing w:after="225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/>
        </w:rPr>
      </w:pPr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Модель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проведення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передбачає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що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учасник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/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учасниця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всі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чотири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предметних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тести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проходитиме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в один день у два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етапи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: перший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етап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(120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хвилин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) —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виконання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завдань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з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української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мови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та математики,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другий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етап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(120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хвилин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) —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виконання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завдань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з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історії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України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та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навчального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предмета на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вибір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.</w:t>
      </w:r>
    </w:p>
    <w:p w:rsidR="00766745" w:rsidRPr="00766745" w:rsidRDefault="00766745" w:rsidP="00766745">
      <w:pPr>
        <w:shd w:val="clear" w:color="auto" w:fill="FFFFFF"/>
        <w:spacing w:after="225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/>
        </w:rPr>
      </w:pP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Після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завершення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виконання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всіх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завдань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НМТ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кожен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учасник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/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кожна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учасниця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отримає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інформацію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про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кількість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набраних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ним / нею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тестових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балів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за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кожний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блок. Для конкурсного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відбору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використовуватимуться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результати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з кожного предмета,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переведені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в шкалу 100–200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балів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.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Таблиці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переведення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балів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у </w:t>
      </w:r>
      <w:proofErr w:type="gram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шкалу</w:t>
      </w:r>
      <w:r w:rsidRPr="00766745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100</w:t>
      </w:r>
      <w:proofErr w:type="gram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–200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Міністерство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освіти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і науки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України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затвердить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завчасно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.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Отже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одразу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після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тестування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учасник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/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учасниця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знатиме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не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тільки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кількість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набраних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ним / нею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тестових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балів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а й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зможе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зорієнтуватися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в тому,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якими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є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його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/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її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результати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для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вступу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. Для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всіх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спеціальностей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буде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встановлено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коефіцієнти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до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результатів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за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кожний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блок НМТ.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Інформація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про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значення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цих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коефіцієнтів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міститиметься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в Порядку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прийому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на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навчання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для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здобуття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вищої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освіти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у 2025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році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.</w:t>
      </w:r>
    </w:p>
    <w:p w:rsidR="00766745" w:rsidRPr="00766745" w:rsidRDefault="00766745" w:rsidP="00766745">
      <w:pPr>
        <w:shd w:val="clear" w:color="auto" w:fill="FFFFFF"/>
        <w:spacing w:after="225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/>
        </w:rPr>
      </w:pPr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Як і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минулого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року,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передбачено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проведення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основних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і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додаткових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сесій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. У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додаткових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сесіях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зможуть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узяти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участь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ті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вступники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/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вступниці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які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з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поважних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причин не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пройшли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тестування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під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час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основних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.</w:t>
      </w:r>
      <w:r w:rsidRPr="00766745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766745" w:rsidRPr="00766745" w:rsidRDefault="00766745" w:rsidP="00766745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lang w:val="ru-RU"/>
        </w:rPr>
      </w:pP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Тестування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відбуватиметься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в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спеціально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обладнаних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комп’ютерних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аудиторіях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закладів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освіти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—</w:t>
      </w:r>
      <w:r w:rsidRPr="00766745">
        <w:rPr>
          <w:rFonts w:ascii="Tahoma" w:eastAsia="Times New Roman" w:hAnsi="Tahoma" w:cs="Tahoma"/>
          <w:color w:val="000000"/>
          <w:sz w:val="21"/>
          <w:szCs w:val="21"/>
        </w:rPr>
        <w:t> 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тимчасових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екзаменаційних</w:t>
      </w:r>
      <w:proofErr w:type="spellEnd"/>
      <w:r w:rsidRPr="00766745">
        <w:rPr>
          <w:rFonts w:ascii="inherit" w:eastAsia="Times New Roman" w:hAnsi="inherit" w:cs="Tahom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 xml:space="preserve"> </w:t>
      </w:r>
      <w:r w:rsidRPr="00766745">
        <w:rPr>
          <w:rFonts w:ascii="Cambria" w:eastAsia="Times New Roman" w:hAnsi="Cambria" w:cs="Cambria"/>
          <w:b/>
          <w:bCs/>
          <w:color w:val="000000"/>
          <w:sz w:val="21"/>
          <w:szCs w:val="21"/>
          <w:bdr w:val="none" w:sz="0" w:space="0" w:color="auto" w:frame="1"/>
          <w:lang w:val="ru-RU"/>
        </w:rPr>
        <w:t>центрах</w:t>
      </w:r>
      <w:r w:rsidRPr="00766745">
        <w:rPr>
          <w:rFonts w:ascii="Tahoma" w:eastAsia="Times New Roman" w:hAnsi="Tahoma" w:cs="Tahoma"/>
          <w:color w:val="000000"/>
          <w:sz w:val="21"/>
          <w:szCs w:val="21"/>
        </w:rPr>
        <w:t> </w:t>
      </w:r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(ТЕЦ),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створених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у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населених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пунктах як в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Україні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, так і за </w:t>
      </w:r>
      <w:proofErr w:type="spellStart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>її</w:t>
      </w:r>
      <w:proofErr w:type="spellEnd"/>
      <w:r w:rsidRPr="00766745">
        <w:rPr>
          <w:rFonts w:ascii="Tahoma" w:eastAsia="Times New Roman" w:hAnsi="Tahoma" w:cs="Tahoma"/>
          <w:color w:val="000000"/>
          <w:sz w:val="21"/>
          <w:szCs w:val="21"/>
          <w:lang w:val="ru-RU"/>
        </w:rPr>
        <w:t xml:space="preserve"> межами.</w:t>
      </w:r>
    </w:p>
    <w:p w:rsidR="00076719" w:rsidRPr="00766745" w:rsidRDefault="00076719">
      <w:pPr>
        <w:rPr>
          <w:lang w:val="ru-RU"/>
        </w:rPr>
      </w:pPr>
      <w:bookmarkStart w:id="0" w:name="_GoBack"/>
      <w:bookmarkEnd w:id="0"/>
    </w:p>
    <w:sectPr w:rsidR="00076719" w:rsidRPr="007667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inherit">
    <w:altName w:val="MV Bol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45"/>
    <w:rsid w:val="00076719"/>
    <w:rsid w:val="0076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6BEC4-AA15-4C1D-AF69-B1F9AFE4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frankenshteynuk@yandex.ua</dc:creator>
  <cp:keywords/>
  <dc:description/>
  <cp:lastModifiedBy>frankenshteynuk@yandex.ua</cp:lastModifiedBy>
  <cp:revision>1</cp:revision>
  <dcterms:created xsi:type="dcterms:W3CDTF">2025-01-20T17:24:00Z</dcterms:created>
  <dcterms:modified xsi:type="dcterms:W3CDTF">2025-01-20T17:24:00Z</dcterms:modified>
</cp:coreProperties>
</file>