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r w:rsidRPr="00347FDB">
        <w:rPr>
          <w:rFonts w:ascii="Arial" w:eastAsia="Times New Roman" w:hAnsi="Arial" w:cs="Arial"/>
          <w:noProof/>
          <w:color w:val="212121"/>
          <w:sz w:val="20"/>
          <w:szCs w:val="20"/>
          <w:lang w:eastAsia="uk-UA"/>
        </w:rPr>
        <w:drawing>
          <wp:inline distT="0" distB="0" distL="0" distR="0">
            <wp:extent cx="5940425" cy="8563329"/>
            <wp:effectExtent l="0" t="0" r="3175" b="9525"/>
            <wp:docPr id="1" name="Рисунок 1" descr="H:\Сайт\Безымянный-1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айт\Безымянный-1 коп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563329"/>
                    </a:xfrm>
                    <a:prstGeom prst="rect">
                      <a:avLst/>
                    </a:prstGeom>
                    <a:noFill/>
                    <a:ln>
                      <a:noFill/>
                    </a:ln>
                  </pic:spPr>
                </pic:pic>
              </a:graphicData>
            </a:graphic>
          </wp:inline>
        </w:drawing>
      </w:r>
      <w:bookmarkStart w:id="0" w:name="_GoBack"/>
      <w:bookmarkEnd w:id="0"/>
    </w:p>
    <w:p w:rsid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p>
    <w:p w:rsid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p>
    <w:p w:rsid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p>
    <w:p w:rsid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p>
    <w:p w:rsidR="00347FDB" w:rsidRPr="00347FDB" w:rsidRDefault="00347FDB" w:rsidP="00347FDB">
      <w:pPr>
        <w:shd w:val="clear" w:color="auto" w:fill="FFFFFF"/>
        <w:spacing w:after="295" w:line="240" w:lineRule="auto"/>
        <w:jc w:val="center"/>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Закон України «Про освіту»</w:t>
      </w:r>
    </w:p>
    <w:p w:rsidR="00347FDB" w:rsidRPr="00347FDB" w:rsidRDefault="00347FDB" w:rsidP="00347FDB">
      <w:pPr>
        <w:shd w:val="clear" w:color="auto" w:fill="FFFFFF"/>
        <w:spacing w:after="295" w:line="240" w:lineRule="auto"/>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Стаття 24.Управління закладом освіти</w:t>
      </w:r>
    </w:p>
    <w:p w:rsidR="00347FDB" w:rsidRPr="00347FDB" w:rsidRDefault="00347FDB" w:rsidP="00347FDB">
      <w:pPr>
        <w:numPr>
          <w:ilvl w:val="0"/>
          <w:numId w:val="1"/>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Система управління закладами освіти визначається законом та установчими документами.</w:t>
      </w:r>
    </w:p>
    <w:p w:rsidR="00347FDB" w:rsidRPr="00347FDB" w:rsidRDefault="00347FDB" w:rsidP="00347FDB">
      <w:pPr>
        <w:numPr>
          <w:ilvl w:val="0"/>
          <w:numId w:val="1"/>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Управління закладом освіти в межах повноважень, визначених законами та установчими документами цього закладу, здійснюють:</w:t>
      </w:r>
    </w:p>
    <w:p w:rsidR="00347FDB" w:rsidRPr="00347FDB" w:rsidRDefault="00347FDB" w:rsidP="00347FDB">
      <w:pPr>
        <w:numPr>
          <w:ilvl w:val="0"/>
          <w:numId w:val="2"/>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засновник (засновники);</w:t>
      </w:r>
    </w:p>
    <w:p w:rsidR="00347FDB" w:rsidRPr="00347FDB" w:rsidRDefault="00347FDB" w:rsidP="00347FDB">
      <w:pPr>
        <w:numPr>
          <w:ilvl w:val="0"/>
          <w:numId w:val="2"/>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керівник закладу освіти;</w:t>
      </w:r>
    </w:p>
    <w:p w:rsidR="00347FDB" w:rsidRPr="00347FDB" w:rsidRDefault="00347FDB" w:rsidP="00347FDB">
      <w:pPr>
        <w:numPr>
          <w:ilvl w:val="0"/>
          <w:numId w:val="2"/>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колегіальний орган управління закладу освіти;</w:t>
      </w:r>
    </w:p>
    <w:p w:rsidR="00347FDB" w:rsidRPr="00347FDB" w:rsidRDefault="00347FDB" w:rsidP="00347FDB">
      <w:pPr>
        <w:numPr>
          <w:ilvl w:val="0"/>
          <w:numId w:val="2"/>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колегіальний орган громадського самоврядування;</w:t>
      </w:r>
    </w:p>
    <w:p w:rsidR="00347FDB" w:rsidRPr="00347FDB" w:rsidRDefault="00347FDB" w:rsidP="00347FDB">
      <w:pPr>
        <w:numPr>
          <w:ilvl w:val="0"/>
          <w:numId w:val="2"/>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інші органи, передбачені спеціальними законами та/або установчими документами закладу освіти.</w:t>
      </w:r>
    </w:p>
    <w:p w:rsidR="00347FDB" w:rsidRPr="00347FDB" w:rsidRDefault="00347FDB" w:rsidP="00347FDB">
      <w:pPr>
        <w:shd w:val="clear" w:color="auto" w:fill="FFFFFF"/>
        <w:spacing w:after="0" w:line="295" w:lineRule="atLeast"/>
        <w:outlineLvl w:val="1"/>
        <w:rPr>
          <w:rFonts w:ascii="Arial" w:eastAsia="Times New Roman" w:hAnsi="Arial" w:cs="Arial"/>
          <w:color w:val="59BFC7"/>
          <w:sz w:val="44"/>
          <w:szCs w:val="44"/>
          <w:lang w:eastAsia="uk-UA"/>
        </w:rPr>
      </w:pPr>
      <w:r w:rsidRPr="00347FDB">
        <w:rPr>
          <w:rFonts w:ascii="Arial" w:eastAsia="Times New Roman" w:hAnsi="Arial" w:cs="Arial"/>
          <w:color w:val="59BFC7"/>
          <w:sz w:val="44"/>
          <w:szCs w:val="44"/>
          <w:lang w:eastAsia="uk-UA"/>
        </w:rPr>
        <w:t>Закон України «Про дошкільну освіту»</w:t>
      </w:r>
    </w:p>
    <w:p w:rsidR="00347FDB" w:rsidRPr="00347FDB" w:rsidRDefault="00347FDB" w:rsidP="00347FDB">
      <w:pPr>
        <w:shd w:val="clear" w:color="auto" w:fill="FFFFFF"/>
        <w:spacing w:after="0" w:line="295" w:lineRule="atLeast"/>
        <w:outlineLvl w:val="5"/>
        <w:rPr>
          <w:rFonts w:ascii="Arial" w:eastAsia="Times New Roman" w:hAnsi="Arial" w:cs="Arial"/>
          <w:b/>
          <w:bCs/>
          <w:color w:val="616F6C"/>
          <w:sz w:val="26"/>
          <w:szCs w:val="26"/>
          <w:lang w:eastAsia="uk-UA"/>
        </w:rPr>
      </w:pPr>
      <w:r w:rsidRPr="00347FDB">
        <w:rPr>
          <w:rFonts w:ascii="Arial" w:eastAsia="Times New Roman" w:hAnsi="Arial" w:cs="Arial"/>
          <w:b/>
          <w:bCs/>
          <w:color w:val="616F6C"/>
          <w:sz w:val="26"/>
          <w:szCs w:val="26"/>
          <w:lang w:eastAsia="uk-UA"/>
        </w:rPr>
        <w:t>Стаття 20.Управління та громадське самоврядування закладу дошкільної освіти</w:t>
      </w:r>
    </w:p>
    <w:p w:rsidR="00347FDB" w:rsidRPr="00347FDB" w:rsidRDefault="00347FDB" w:rsidP="00347FDB">
      <w:pPr>
        <w:numPr>
          <w:ilvl w:val="0"/>
          <w:numId w:val="3"/>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Керівництво закладом дошкільної освіти здійснює його директор.</w:t>
      </w:r>
    </w:p>
    <w:p w:rsidR="00347FDB" w:rsidRPr="00347FDB" w:rsidRDefault="00347FDB" w:rsidP="00347FDB">
      <w:pPr>
        <w:numPr>
          <w:ilvl w:val="0"/>
          <w:numId w:val="3"/>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347FDB" w:rsidRPr="00347FDB" w:rsidRDefault="00347FDB" w:rsidP="00347FDB">
      <w:pPr>
        <w:numPr>
          <w:ilvl w:val="0"/>
          <w:numId w:val="3"/>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347FDB" w:rsidRPr="00347FDB" w:rsidRDefault="00347FDB" w:rsidP="00347FDB">
      <w:pPr>
        <w:numPr>
          <w:ilvl w:val="0"/>
          <w:numId w:val="3"/>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347FDB" w:rsidRPr="00347FDB" w:rsidRDefault="00347FDB" w:rsidP="00347FDB">
      <w:pPr>
        <w:numPr>
          <w:ilvl w:val="0"/>
          <w:numId w:val="3"/>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347FDB" w:rsidRPr="00347FDB" w:rsidRDefault="00347FDB" w:rsidP="00347FDB">
      <w:pPr>
        <w:shd w:val="clear" w:color="auto" w:fill="FFFFFF"/>
        <w:spacing w:after="0" w:line="295" w:lineRule="atLeast"/>
        <w:outlineLvl w:val="5"/>
        <w:rPr>
          <w:rFonts w:ascii="Arial" w:eastAsia="Times New Roman" w:hAnsi="Arial" w:cs="Arial"/>
          <w:b/>
          <w:bCs/>
          <w:color w:val="616F6C"/>
          <w:sz w:val="26"/>
          <w:szCs w:val="26"/>
          <w:lang w:eastAsia="uk-UA"/>
        </w:rPr>
      </w:pPr>
      <w:r w:rsidRPr="00347FDB">
        <w:rPr>
          <w:rFonts w:ascii="Arial" w:eastAsia="Times New Roman" w:hAnsi="Arial" w:cs="Arial"/>
          <w:b/>
          <w:bCs/>
          <w:color w:val="616F6C"/>
          <w:sz w:val="26"/>
          <w:szCs w:val="26"/>
          <w:lang w:eastAsia="uk-UA"/>
        </w:rPr>
        <w:t>Педагогічна рада закладу дошкільної освіти:</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розглядає питання вдосконалення організації освітнього процесу у закладі;</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визначає план роботи закладу та педагогічне навантаження педагогічних працівників;</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затверджує заходи щодо зміцнення здоров’я дітей;</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lastRenderedPageBreak/>
        <w:t>обговорює питання підвищення кваліфікації педагогічних працівників, розвитку їхньої творчої ініціативи;</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затверджує щорічний план підвищення кваліфікації педагогічних працівників;</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заслуховує звіти педагогічних працівників, які проходять атестацію;</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визначає шляхи співпраці закладу дошкільної освіти з сім’єю;</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має право ініціювати проведення позапланового інституційного аудиту закладу та проведення громадської акредитації закладу;</w:t>
      </w:r>
    </w:p>
    <w:p w:rsidR="00347FDB" w:rsidRPr="00347FDB" w:rsidRDefault="00347FDB" w:rsidP="00347FDB">
      <w:pPr>
        <w:numPr>
          <w:ilvl w:val="0"/>
          <w:numId w:val="4"/>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розглядає інші питання, віднесені законом та/або установчими документами закладу до її повноважень.</w:t>
      </w:r>
    </w:p>
    <w:p w:rsidR="00347FDB" w:rsidRPr="00347FDB" w:rsidRDefault="00347FDB" w:rsidP="00347FDB">
      <w:pPr>
        <w:shd w:val="clear" w:color="auto" w:fill="FFFFFF"/>
        <w:spacing w:after="295" w:line="240" w:lineRule="auto"/>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Рішення педагогічної ради закладу дошкільної освіти вводяться в дію рішеннями керівника закладу.</w:t>
      </w:r>
    </w:p>
    <w:p w:rsidR="00347FDB" w:rsidRPr="00347FDB" w:rsidRDefault="00347FDB" w:rsidP="00347FDB">
      <w:pPr>
        <w:shd w:val="clear" w:color="auto" w:fill="FFFFFF"/>
        <w:spacing w:after="0" w:line="295" w:lineRule="atLeast"/>
        <w:outlineLvl w:val="5"/>
        <w:rPr>
          <w:rFonts w:ascii="Arial" w:eastAsia="Times New Roman" w:hAnsi="Arial" w:cs="Arial"/>
          <w:b/>
          <w:bCs/>
          <w:color w:val="616F6C"/>
          <w:sz w:val="26"/>
          <w:szCs w:val="26"/>
          <w:lang w:eastAsia="uk-UA"/>
        </w:rPr>
      </w:pPr>
      <w:r w:rsidRPr="00347FDB">
        <w:rPr>
          <w:rFonts w:ascii="Arial" w:eastAsia="Times New Roman" w:hAnsi="Arial" w:cs="Arial"/>
          <w:b/>
          <w:bCs/>
          <w:color w:val="616F6C"/>
          <w:sz w:val="26"/>
          <w:szCs w:val="26"/>
          <w:lang w:eastAsia="uk-UA"/>
        </w:rPr>
        <w:t>У закладі дошкільної освіти можуть діяти:</w:t>
      </w:r>
    </w:p>
    <w:p w:rsidR="00347FDB" w:rsidRPr="00347FDB" w:rsidRDefault="00347FDB" w:rsidP="00347FDB">
      <w:pPr>
        <w:numPr>
          <w:ilvl w:val="0"/>
          <w:numId w:val="5"/>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органи самоврядування працівників закладу освіти;</w:t>
      </w:r>
    </w:p>
    <w:p w:rsidR="00347FDB" w:rsidRPr="00347FDB" w:rsidRDefault="00347FDB" w:rsidP="00347FDB">
      <w:pPr>
        <w:numPr>
          <w:ilvl w:val="0"/>
          <w:numId w:val="5"/>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органи батьківського самоврядування;</w:t>
      </w:r>
    </w:p>
    <w:p w:rsidR="00347FDB" w:rsidRPr="00347FDB" w:rsidRDefault="00347FDB" w:rsidP="00347FDB">
      <w:pPr>
        <w:numPr>
          <w:ilvl w:val="0"/>
          <w:numId w:val="5"/>
        </w:numPr>
        <w:shd w:val="clear" w:color="auto" w:fill="FFFFFF"/>
        <w:spacing w:after="0" w:line="354" w:lineRule="atLeast"/>
        <w:ind w:left="0"/>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інші органи громадського самоврядування учасників освітнього процесу.</w:t>
      </w:r>
    </w:p>
    <w:p w:rsidR="00347FDB" w:rsidRPr="00347FDB" w:rsidRDefault="00347FDB" w:rsidP="00347FDB">
      <w:pPr>
        <w:shd w:val="clear" w:color="auto" w:fill="FFFFFF"/>
        <w:spacing w:after="295" w:line="240" w:lineRule="auto"/>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347FDB" w:rsidRPr="00347FDB" w:rsidRDefault="00347FDB" w:rsidP="00347FDB">
      <w:pPr>
        <w:shd w:val="clear" w:color="auto" w:fill="FFFFFF"/>
        <w:spacing w:after="295" w:line="240" w:lineRule="auto"/>
        <w:rPr>
          <w:rFonts w:ascii="Arial" w:eastAsia="Times New Roman" w:hAnsi="Arial" w:cs="Arial"/>
          <w:color w:val="212121"/>
          <w:sz w:val="20"/>
          <w:szCs w:val="20"/>
          <w:lang w:eastAsia="uk-UA"/>
        </w:rPr>
      </w:pPr>
      <w:r w:rsidRPr="00347FDB">
        <w:rPr>
          <w:rFonts w:ascii="Arial" w:eastAsia="Times New Roman" w:hAnsi="Arial" w:cs="Arial"/>
          <w:color w:val="212121"/>
          <w:sz w:val="20"/>
          <w:szCs w:val="20"/>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347FDB">
        <w:rPr>
          <w:rFonts w:ascii="Arial" w:eastAsia="Times New Roman" w:hAnsi="Arial" w:cs="Arial"/>
          <w:color w:val="212121"/>
          <w:sz w:val="20"/>
          <w:szCs w:val="20"/>
          <w:lang w:eastAsia="uk-UA"/>
        </w:rPr>
        <w:t>професійно</w:t>
      </w:r>
      <w:proofErr w:type="spellEnd"/>
      <w:r w:rsidRPr="00347FDB">
        <w:rPr>
          <w:rFonts w:ascii="Arial" w:eastAsia="Times New Roman" w:hAnsi="Arial" w:cs="Arial"/>
          <w:color w:val="212121"/>
          <w:sz w:val="20"/>
          <w:szCs w:val="20"/>
          <w:lang w:eastAsia="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347FDB" w:rsidRPr="00347FDB" w:rsidRDefault="00347FDB" w:rsidP="00347FDB">
      <w:pPr>
        <w:shd w:val="clear" w:color="auto" w:fill="FFFFFF"/>
        <w:spacing w:after="0" w:line="240" w:lineRule="auto"/>
        <w:rPr>
          <w:rFonts w:ascii="Arial" w:eastAsia="Times New Roman" w:hAnsi="Arial" w:cs="Arial"/>
          <w:color w:val="212121"/>
          <w:sz w:val="20"/>
          <w:szCs w:val="20"/>
          <w:lang w:eastAsia="uk-UA"/>
        </w:rPr>
      </w:pPr>
      <w:r w:rsidRPr="00347FDB">
        <w:rPr>
          <w:rFonts w:ascii="Arial" w:eastAsia="Times New Roman" w:hAnsi="Arial" w:cs="Arial"/>
          <w:b/>
          <w:bCs/>
          <w:color w:val="212121"/>
          <w:sz w:val="20"/>
          <w:szCs w:val="20"/>
          <w:lang w:eastAsia="uk-UA"/>
        </w:rPr>
        <w:t>{Стаття 20 в редакції Закону </w:t>
      </w:r>
      <w:hyperlink r:id="rId6" w:anchor="n1713" w:tgtFrame="_blank" w:tooltip=" (у новому вікні)" w:history="1">
        <w:r w:rsidRPr="00347FDB">
          <w:rPr>
            <w:rFonts w:ascii="Arial" w:eastAsia="Times New Roman" w:hAnsi="Arial" w:cs="Arial"/>
            <w:b/>
            <w:bCs/>
            <w:color w:val="616F6C"/>
            <w:sz w:val="20"/>
            <w:szCs w:val="20"/>
            <w:u w:val="single"/>
            <w:lang w:eastAsia="uk-UA"/>
          </w:rPr>
          <w:t>№ 2145-VIII від 05.09.2017</w:t>
        </w:r>
      </w:hyperlink>
      <w:r w:rsidRPr="00347FDB">
        <w:rPr>
          <w:rFonts w:ascii="Arial" w:eastAsia="Times New Roman" w:hAnsi="Arial" w:cs="Arial"/>
          <w:b/>
          <w:bCs/>
          <w:color w:val="212121"/>
          <w:sz w:val="20"/>
          <w:szCs w:val="20"/>
          <w:lang w:eastAsia="uk-UA"/>
        </w:rPr>
        <w:t>}</w:t>
      </w:r>
    </w:p>
    <w:p w:rsidR="001A7D5F" w:rsidRDefault="00347FDB"/>
    <w:sectPr w:rsidR="001A7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54A5"/>
    <w:multiLevelType w:val="multilevel"/>
    <w:tmpl w:val="071E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22F9E"/>
    <w:multiLevelType w:val="multilevel"/>
    <w:tmpl w:val="05D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993B43"/>
    <w:multiLevelType w:val="multilevel"/>
    <w:tmpl w:val="7792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07D42"/>
    <w:multiLevelType w:val="multilevel"/>
    <w:tmpl w:val="2D78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747EC"/>
    <w:multiLevelType w:val="multilevel"/>
    <w:tmpl w:val="E08A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8F"/>
    <w:rsid w:val="000A598F"/>
    <w:rsid w:val="00347FDB"/>
    <w:rsid w:val="00A60D34"/>
    <w:rsid w:val="00DD34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5DFA3-E888-4AD2-A5FC-738C8DD1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47FD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6">
    <w:name w:val="heading 6"/>
    <w:basedOn w:val="a"/>
    <w:link w:val="60"/>
    <w:uiPriority w:val="9"/>
    <w:qFormat/>
    <w:rsid w:val="00347FDB"/>
    <w:pPr>
      <w:spacing w:before="100" w:beforeAutospacing="1" w:after="100" w:afterAutospacing="1" w:line="240" w:lineRule="auto"/>
      <w:outlineLvl w:val="5"/>
    </w:pPr>
    <w:rPr>
      <w:rFonts w:ascii="Times New Roman" w:eastAsia="Times New Roman" w:hAnsi="Times New Roman" w:cs="Times New Roman"/>
      <w:b/>
      <w:bCs/>
      <w:sz w:val="15"/>
      <w:szCs w:val="15"/>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7FDB"/>
    <w:rPr>
      <w:rFonts w:ascii="Times New Roman" w:eastAsia="Times New Roman" w:hAnsi="Times New Roman" w:cs="Times New Roman"/>
      <w:b/>
      <w:bCs/>
      <w:sz w:val="36"/>
      <w:szCs w:val="36"/>
      <w:lang w:eastAsia="uk-UA"/>
    </w:rPr>
  </w:style>
  <w:style w:type="character" w:customStyle="1" w:styleId="60">
    <w:name w:val="Заголовок 6 Знак"/>
    <w:basedOn w:val="a0"/>
    <w:link w:val="6"/>
    <w:uiPriority w:val="9"/>
    <w:rsid w:val="00347FDB"/>
    <w:rPr>
      <w:rFonts w:ascii="Times New Roman" w:eastAsia="Times New Roman" w:hAnsi="Times New Roman" w:cs="Times New Roman"/>
      <w:b/>
      <w:bCs/>
      <w:sz w:val="15"/>
      <w:szCs w:val="15"/>
      <w:lang w:eastAsia="uk-UA"/>
    </w:rPr>
  </w:style>
  <w:style w:type="paragraph" w:customStyle="1" w:styleId="wymcenter">
    <w:name w:val="wym_center"/>
    <w:basedOn w:val="a"/>
    <w:rsid w:val="00347F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347FD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47FDB"/>
    <w:rPr>
      <w:b/>
      <w:bCs/>
    </w:rPr>
  </w:style>
  <w:style w:type="character" w:styleId="a5">
    <w:name w:val="Hyperlink"/>
    <w:basedOn w:val="a0"/>
    <w:uiPriority w:val="99"/>
    <w:semiHidden/>
    <w:unhideWhenUsed/>
    <w:rsid w:val="00347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38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145-19/paran171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2781</Words>
  <Characters>1586</Characters>
  <Application>Microsoft Office Word</Application>
  <DocSecurity>0</DocSecurity>
  <Lines>13</Lines>
  <Paragraphs>8</Paragraphs>
  <ScaleCrop>false</ScaleCrop>
  <Company/>
  <LinksUpToDate>false</LinksUpToDate>
  <CharactersWithSpaces>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2024-01-21T16:40:00Z</dcterms:created>
  <dcterms:modified xsi:type="dcterms:W3CDTF">2024-01-21T16:40:00Z</dcterms:modified>
</cp:coreProperties>
</file>