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9A" w:rsidRPr="00DD47FA" w:rsidRDefault="0031029A" w:rsidP="00DD47FA">
      <w:pPr>
        <w:shd w:val="clear" w:color="auto" w:fill="FFFDFD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Критерії</w:t>
      </w:r>
      <w:proofErr w:type="spellEnd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оцінювання</w:t>
      </w:r>
      <w:proofErr w:type="spellEnd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навчальних</w:t>
      </w:r>
      <w:proofErr w:type="spellEnd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досягнень</w:t>
      </w:r>
      <w:proofErr w:type="spellEnd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учнів</w:t>
      </w:r>
      <w:proofErr w:type="spellEnd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 </w:t>
      </w:r>
      <w:proofErr w:type="spellStart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музичного</w:t>
      </w:r>
      <w:proofErr w:type="spellEnd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D47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мистецтва</w:t>
      </w:r>
      <w:proofErr w:type="spellEnd"/>
    </w:p>
    <w:tbl>
      <w:tblPr>
        <w:tblW w:w="11199" w:type="dxa"/>
        <w:tblInd w:w="-1156" w:type="dxa"/>
        <w:shd w:val="clear" w:color="auto" w:fill="FF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884"/>
        <w:gridCol w:w="8556"/>
      </w:tblGrid>
      <w:tr w:rsidR="0031029A" w:rsidRPr="00DD47FA" w:rsidTr="0031029A">
        <w:tc>
          <w:tcPr>
            <w:tcW w:w="156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Рівні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досягнень</w:t>
            </w:r>
            <w:proofErr w:type="spellEnd"/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Критерії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І.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сприймає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 на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частковому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рівні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небагатослівно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їх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слабо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сформоване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мислення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елементарні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навички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вміння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володіє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незначною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частиною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слабо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сформований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рівень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сприйняття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творів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виявляє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певні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вміння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навички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володіє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незначною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частиною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словниковий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запас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дозволяє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викласти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думку на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елементарному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рівні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здатний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окремі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фрагменти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творів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конкретним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образно-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художнім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змістом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незначну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частину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послуговуючись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обмеженим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термінологічним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словниковим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запасом</w:t>
            </w:r>
          </w:p>
        </w:tc>
      </w:tr>
      <w:tr w:rsidR="0031029A" w:rsidRPr="00DD47FA" w:rsidTr="0031029A">
        <w:tc>
          <w:tcPr>
            <w:tcW w:w="1560" w:type="dxa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ІІ.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здатний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 на репродуктивному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рівні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розуміє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художньо-образної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сфери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творів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практиці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задовільне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володіє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навичками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уміннями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дають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змогу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проаналізувати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окремі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котрі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мають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художньо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конкретну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словесну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понятійну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основу; але не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завжди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інтерпретувати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вимагають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абстрактного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художнього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мислення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виявляє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недостатнє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словниковий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запас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небагатий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здатний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відтворювати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частину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слабо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сформоване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мислення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завжди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послідовно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логічно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розповідь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потребує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уточнень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додаткових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запитань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виявляє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положень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завжди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зробити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порівняння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висновок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щодо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прослуханої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виконаної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музики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ІІІ.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Достатній</w:t>
            </w:r>
            <w:proofErr w:type="spellEnd"/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здатний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але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робить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непереконливі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висновки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непослідовно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викладає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думки,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допускає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помилки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найважливіший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нестійкі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спостерігаються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помітні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позитивні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зміни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учня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досить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повно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аналізує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художньо-образний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зміст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стандартне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мислення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йому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бракує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власних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висновків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асоціацій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узагальнень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завжди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поєднувати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життєві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явища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недостатньо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володіє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спеціальною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термінологією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аналізі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явищ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виявляє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достатнє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засвоєння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допускає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використанні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зауваження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коригування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трапляються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поодинокі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недоліки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художньо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-образному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оформленні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своїх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роздумів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щодо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прослуханої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музики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не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завжди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систематизує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узагальнює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 w:val="restar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ІV. </w:t>
            </w:r>
            <w:bookmarkStart w:id="0" w:name="_GoBack"/>
            <w:bookmarkEnd w:id="0"/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міцні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програмового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аналізуючи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допускає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несуттєві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формулюваннях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при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використанні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також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під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творів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більшості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випадків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обґрунтовано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довести свою думку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щодо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явищ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йому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важко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окремі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фрагменти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Вказані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може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виправляти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володіє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тематичним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програми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вміє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набуті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уміння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нових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завданнях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їх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міцність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уміння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інтерпретувати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асоціювати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їх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інших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мистецтв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життєвими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явищами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здобуті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31029A" w:rsidRPr="00DD47FA" w:rsidTr="0031029A">
        <w:tc>
          <w:tcPr>
            <w:tcW w:w="1560" w:type="dxa"/>
            <w:vMerge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DFD"/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93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DD47FA" w:rsidRDefault="0031029A" w:rsidP="00DD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учениця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глибокі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ґрунтовні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програми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здатний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асоціативні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зв'язки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між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музичними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інших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мистецтв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життєвими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явищами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свідомо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спеціальну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термінологію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роздумах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висновках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узагальненнях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щодо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прослуханого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виконаного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твору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пропонує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нетипові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цікаві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художньо-творчі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уявлення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рівень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світосприйняття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світовідчуття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мистецького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мислення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високий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набуті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знання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уміння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музичній</w:t>
            </w:r>
            <w:proofErr w:type="spellEnd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7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</w:tbl>
    <w:p w:rsidR="00F30AD2" w:rsidRPr="00DD47FA" w:rsidRDefault="00F30AD2" w:rsidP="00DD4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0AD2" w:rsidRPr="00DD47FA" w:rsidSect="003102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34"/>
    <w:rsid w:val="0031029A"/>
    <w:rsid w:val="007A0A34"/>
    <w:rsid w:val="00DD47FA"/>
    <w:rsid w:val="00EB3D41"/>
    <w:rsid w:val="00F3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4FFEB-F68D-4B6C-AF21-6B7D1F72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02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0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2842</Words>
  <Characters>1620</Characters>
  <Application>Microsoft Office Word</Application>
  <DocSecurity>0</DocSecurity>
  <Lines>13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</dc:creator>
  <cp:keywords/>
  <dc:description/>
  <cp:lastModifiedBy>вчитель</cp:lastModifiedBy>
  <cp:revision>7</cp:revision>
  <dcterms:created xsi:type="dcterms:W3CDTF">2016-01-20T14:30:00Z</dcterms:created>
  <dcterms:modified xsi:type="dcterms:W3CDTF">2020-06-19T08:38:00Z</dcterms:modified>
</cp:coreProperties>
</file>