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1" w:before="167" w:line="240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37"/>
          <w:szCs w:val="37"/>
          <w:rtl w:val="0"/>
        </w:rPr>
        <w:t xml:space="preserve">Матеріально-технічне забезпечення Зарічненської гімназії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Всього класних кімнат ( включаючи  навчальні кабінети і лабораторії ) -11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​​​► 4 кабінети для учнів початкової школи;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► 1 кабінет української мови та літератури;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► 1 кабінет історії;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►1 кабінет географії і біології;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► 1 кабінет англійської мови;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►1 кабінет математики;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►1 кабінет інформатики.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1" w:before="167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У закладі встановлено 10 комп'ютерів, з них 8 підключено до інтернету. Проатестовано 5 кабінетів: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67" w:line="240" w:lineRule="auto"/>
        <w:ind w:left="502" w:hanging="360"/>
        <w:jc w:val="both"/>
        <w:rPr/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3 кабінети для учнів початкової школи;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67" w:line="240" w:lineRule="auto"/>
        <w:ind w:left="502" w:hanging="360"/>
        <w:jc w:val="both"/>
        <w:rPr/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кабінет географії  і біології;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67" w:line="240" w:lineRule="auto"/>
        <w:ind w:left="502" w:hanging="360"/>
        <w:jc w:val="both"/>
        <w:rPr/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кабінет англійської мови.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1" w:before="167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     В закладі є бібліотека, їдальня, спортивний майданчик.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