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E8" w:rsidRPr="009F69E8" w:rsidRDefault="009F69E8" w:rsidP="009F6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Як закон визначає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?</w:t>
      </w:r>
    </w:p>
    <w:p w:rsidR="009F69E8" w:rsidRPr="009F69E8" w:rsidRDefault="009F69E8" w:rsidP="009F6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Згідно з прийнятим документом, 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(цькування)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— це діяння учасників освітнього процесу, які полягають у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психологічному, фізичному, економічному або сексуальному насильстві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(у тому числі із застосуванням засобів електронних комунікацій), що вчиняються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стосовно малолітньої чи неповнолітньої особи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або такою особою стосовно інших учасників освітнього процесу, внаслідок чого могла бути чи була заподіяна шкода психічному або фізичному здоров’ю потерпілого.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Водночас,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закон не дає окремих визначень,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що таке психологічне, економічне, сексуальне насильство, а також насильство із застосуванням засобів електронних комунікацій. До того ж, у цьому визначенні незрозумілим є момент щодо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шкоди, яка «могла бути заподіяна».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 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Веб-ресурс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НУШ </w:t>
      </w:r>
      <w:hyperlink r:id="rId6" w:tgtFrame="_blank" w:history="1">
        <w:r w:rsidRPr="009F69E8">
          <w:rPr>
            <w:rFonts w:ascii="Times New Roman" w:eastAsia="Times New Roman" w:hAnsi="Times New Roman" w:cs="Times New Roman"/>
            <w:sz w:val="27"/>
            <w:u w:val="single"/>
            <w:lang w:eastAsia="uk-UA"/>
          </w:rPr>
          <w:t>наводить </w:t>
        </w:r>
      </w:hyperlink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роз’яснення державного представника експертної групи з питань позашкільної освіти Директорату інклюзивної та позашкільної освіти МОН, експерта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Оксани Савицької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:</w:t>
      </w:r>
    </w:p>
    <w:p w:rsidR="009F69E8" w:rsidRPr="009F69E8" w:rsidRDefault="009F69E8" w:rsidP="009F69E8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«Могла бути» стосується фізичної шкоди, — зазначає вона. — Адже не завжди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, якщо ми розуміємо це як повторюване насильство, призводить до фізичної шкоди. Те, що він призводить до психічної шкоди, — це однозначно, але фізичної — не завжди. Тому «може бути» в цьому визначенні стосується саме фізичної шкоди. Хоча справді, визначення сформульоване нечітко".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Типовими ознаками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,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що відрізняють його від звичайного конфлікту, є:</w:t>
      </w:r>
    </w:p>
    <w:p w:rsidR="009F69E8" w:rsidRPr="009F69E8" w:rsidRDefault="009F69E8" w:rsidP="009F69E8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систематичність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(повторюваність);</w:t>
      </w:r>
    </w:p>
    <w:p w:rsidR="009F69E8" w:rsidRPr="009F69E8" w:rsidRDefault="009F69E8" w:rsidP="009F69E8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наявність сторін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— кривдник (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булер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), потерпілий (жертва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), спостерігачі (за наявності);</w:t>
      </w:r>
    </w:p>
    <w:p w:rsidR="009F69E8" w:rsidRPr="009F69E8" w:rsidRDefault="009F69E8" w:rsidP="009F69E8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дії або бездіяльність кривдника,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наслідком яких є заподіяння психічної та/або фізичної шкоди, приниження, страх, тривога, підпорядкування потерпілого інтересам кривдника та/або спричинення соціальної ізоляції потерпілого.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w:drawing>
          <wp:inline distT="0" distB="0" distL="0" distR="0">
            <wp:extent cx="5172075" cy="2695406"/>
            <wp:effectExtent l="19050" t="0" r="9525" b="0"/>
            <wp:docPr id="1" name="Рисунок 1" descr="Що варто знати про антибулінговий закон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о варто знати про антибулінговий закон на learning.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9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</w:p>
    <w:p w:rsidR="009F69E8" w:rsidRPr="009F69E8" w:rsidRDefault="009F69E8" w:rsidP="009F6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Кого стосується закон?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Варто зазначити, що ухвалений законопроект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стосується не лише учнів шкіл.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Його дія поширюється на:</w:t>
      </w:r>
    </w:p>
    <w:p w:rsidR="009F69E8" w:rsidRPr="009F69E8" w:rsidRDefault="009F69E8" w:rsidP="009F69E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дошкільнят;</w:t>
      </w:r>
    </w:p>
    <w:p w:rsidR="009F69E8" w:rsidRPr="009F69E8" w:rsidRDefault="009F69E8" w:rsidP="009F69E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студентів закладів професійно-технічної освіти та ВНЗ;</w:t>
      </w:r>
    </w:p>
    <w:p w:rsidR="009F69E8" w:rsidRPr="009F69E8" w:rsidRDefault="009F69E8" w:rsidP="009F69E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педагогів у дитсадках, школах та закладах вищої освіти;</w:t>
      </w:r>
    </w:p>
    <w:p w:rsidR="009F69E8" w:rsidRPr="009F69E8" w:rsidRDefault="009F69E8" w:rsidP="009F69E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науково-педагогічних працівників;</w:t>
      </w:r>
    </w:p>
    <w:p w:rsidR="009F69E8" w:rsidRPr="009F69E8" w:rsidRDefault="009F69E8" w:rsidP="009F69E8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усіх учасників освітнього процесу та батьків.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   Закон зобов’язує навчальні заклади забезпечувати на своїх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веб-сайтах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відкритий доступ до правил поведінки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здобувача освіти в навчальному закладі та плану заходів, спрямованих на запобігання та протидію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Які штрафи передбачено за знущання?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«Я вважаю, що найперше з 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булінгом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треба боротися через його попередження, але ті, хто здійснюють цькування, мають розуміти, що за цим слідує покарання» — </w:t>
      </w:r>
      <w:hyperlink r:id="rId8" w:tgtFrame="_blank" w:history="1">
        <w:r w:rsidRPr="009F69E8">
          <w:rPr>
            <w:rFonts w:ascii="Times New Roman" w:eastAsia="Times New Roman" w:hAnsi="Times New Roman" w:cs="Times New Roman"/>
            <w:sz w:val="27"/>
            <w:u w:val="single"/>
            <w:lang w:eastAsia="uk-UA"/>
          </w:rPr>
          <w:t>зазначила </w:t>
        </w:r>
      </w:hyperlink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міністр освіти Лілія Гриневич.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 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Згідно з прийнятим законом, за 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вводиться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адміністративна відповідальність.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Так, у разі доведення факту цькування кривдник буде змушений сплатити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штраф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50 до 100 неоподатковуваних мінімумів доходів громадян (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850 — 1700 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грн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) або виконувати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громадські роботи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тривалістю 20-40 годин.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Якщо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вчинено групою осіб або повторно протягом року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після накладення адміністративного стягнення, штраф буде більшим — від 100 до 200 мінімумів (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1700 — 3400 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грн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) або громадські роботи на строк від 40 до 60 годин.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  Якщо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вчиняє неповнолітня (до 18 років) або малолітня (до 14 років) особа,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то за неї платитимуть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штраф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і виконуватимуть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громадські роботи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батьки або особи, які їх замінюють.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Окрім цього, відповідальність передбачена за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замовчування випадків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Зокрема, 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учасника освітнього процесу також тягне за собою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накладення штрафу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від 50 до 100 неоподатковуваних мінімумів (850-1700 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грн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) або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виправні роботи на строк до 1 місяця з відрахуванням до 20% заробітку.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 Чи можуть за 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оштрафувати педагогів?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Як зазначає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активістка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антибулінгового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руху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Анастасія Мельниченко,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вчителів у школах ні в якому разі не штрафуватимуть за те, що одні учні цькують інших. Тим паче, що навіть у «взірцевих» класах може зародитися цькування. А ось за що працівники шкіл можуть отримати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штраф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— то це:</w:t>
      </w:r>
    </w:p>
    <w:p w:rsidR="009F69E8" w:rsidRPr="009F69E8" w:rsidRDefault="009F69E8" w:rsidP="009F69E8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ігнорування чи приховування від керівництва закладу освіти письмових скарг батьків чи дітей; покривання дій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булерів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;</w:t>
      </w:r>
    </w:p>
    <w:p w:rsidR="009F69E8" w:rsidRPr="009F69E8" w:rsidRDefault="009F69E8" w:rsidP="009F69E8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байдуже ставлення до повторюваних агресивних дій з боку учня чи групи учнів щодо іншої дитини.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   Який механізм реагування на випадки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в школі?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Детально прописаного механізму поки немає — його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має розробити МОН до кінця березня.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Із того, що відомо наразі: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1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.Сайт школи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або сайт засновника школи має містити і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нформацію про те, який порядок подання, розгляду та реагування на заяви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 доведені випадки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2.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Учні та вчителі зобов’язані повідомляти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 письмовій формі керівництву школи про випадки цькування, якщо вони були його безпосередніми свідками чи про які отримали достовірну інформацію.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3.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Директор школи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розглядає заяви від батьків, учнів і вчителів та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видає рішення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 проведення подальшого розслідування. Після цього він має скликати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комісію з розгляду випадків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.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Хто до неї буде входити — зараз уточнюється.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4. Керівник школи обов’язково має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повідомити про випадки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в підрозділ органів Національної поліції та службу в справах дітей.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   5. Якщо директор школи ніяк не реагує на випадки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,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скарги слід передати засновнику навчального закладу.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Тобто в управління освіти, якщо це державний заклад, або фізичним (чи юридичним) особам, якщо це приватна школа. Якщо й це не допомогло,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батьки можуть звернутися до Національної поліції.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noProof/>
          <w:sz w:val="27"/>
          <w:szCs w:val="27"/>
          <w:lang w:eastAsia="uk-UA"/>
        </w:rPr>
        <w:drawing>
          <wp:inline distT="0" distB="0" distL="0" distR="0">
            <wp:extent cx="5438775" cy="3625850"/>
            <wp:effectExtent l="19050" t="0" r="9525" b="0"/>
            <wp:docPr id="3" name="Рисунок 3" descr="Що варто знати про антибулінговий закон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о варто знати про антибулінговий закон на learning.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 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uk-UA"/>
        </w:rPr>
      </w:pPr>
    </w:p>
    <w:p w:rsidR="009F69E8" w:rsidRPr="009F69E8" w:rsidRDefault="009F69E8" w:rsidP="009F6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Хто має розробляти план заходів для запобігання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Зазначений план має розробити, затвердити та оприлюднити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керівник навчального закладу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   До того ж, він відповідає за те, аби учні, які вчинили, постраждали або стали свідками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,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вчасно отримували допомогу психологів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 Хто такий освітній омбудсмен?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   До процесу протидії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 школах будуть залучати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освітнього омбудсмена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(від швед.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ombudsman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— «представник») — посадову особу, що має захищати права в сфері освіти.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Його місія —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перевірити заяви про випадки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 школі та забезпечити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своєчасність заходів реагування на випадки цькування.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Крім того, омбудсмен буде аналізувати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якість соціальних та психолого-педагогічних послуг,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наданих учням, які вчинили, постраждали або стали свідками цькування.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 Як оцінюють закон експерти?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Юристи, педагоги та громадські активісти стверджують, що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закон має ряд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недоопрацювань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і навряд чи кардинально змінить наявну ситуацію.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    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Так,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адвокат та юридичний радник журналу «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Освіторія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Хаб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» Юлія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Недошовенко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пояснює: довести, що факт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 закладі освіти дійсно відбувся, буде складно і цей процес може зайняти багато часу. Вона зазначає:</w:t>
      </w:r>
    </w:p>
    <w:p w:rsidR="009F69E8" w:rsidRPr="009F69E8" w:rsidRDefault="009F69E8" w:rsidP="009F69E8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«Щоб підтвердити, що 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призвів до наслідків у вигляді фізичної чи психічної шкоди, треба буде їх доводити, звернувшись до конкретних спеціалістів та отримавши від них висновки. Свідчень жертви цькування буде замало».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Разом з тим, прийняття цього законопроекту є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позитивним кроком на шляху протидії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.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В пояснювальній записці до законопроекту вказано, що за даними ЮНІСЕФ, 2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4% українських школярів вважають себе жертвами цькування, 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 близько 40% із тих дітей, хто стикався з випадками </w:t>
      </w:r>
      <w:proofErr w:type="spellStart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, ніколи не розповідають про це своїм батькам.</w:t>
      </w:r>
    </w:p>
    <w:p w:rsidR="009F69E8" w:rsidRPr="009F69E8" w:rsidRDefault="009F69E8" w:rsidP="009F69E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    Тож 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експерти закликають вчителів та батьків приєднатися до кампанії боротьби з насильством у школі</w:t>
      </w:r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, а також підвищувати обізнаність дітей про небезпечні наслідки цькування. До речі, в нашій попередній </w:t>
      </w:r>
      <w:hyperlink r:id="rId10" w:tgtFrame="_blank" w:history="1">
        <w:r w:rsidRPr="009F69E8">
          <w:rPr>
            <w:rFonts w:ascii="Times New Roman" w:eastAsia="Times New Roman" w:hAnsi="Times New Roman" w:cs="Times New Roman"/>
            <w:sz w:val="27"/>
            <w:u w:val="single"/>
            <w:lang w:eastAsia="uk-UA"/>
          </w:rPr>
          <w:t>статті </w:t>
        </w:r>
      </w:hyperlink>
      <w:r w:rsidRPr="009F69E8">
        <w:rPr>
          <w:rFonts w:ascii="Times New Roman" w:eastAsia="Times New Roman" w:hAnsi="Times New Roman" w:cs="Times New Roman"/>
          <w:sz w:val="27"/>
          <w:szCs w:val="27"/>
          <w:lang w:eastAsia="uk-UA"/>
        </w:rPr>
        <w:t>ви можете знайти детальну</w:t>
      </w:r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 xml:space="preserve"> інформацію щодо причин та можливих способів запобігання </w:t>
      </w:r>
      <w:proofErr w:type="spellStart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булінгу</w:t>
      </w:r>
      <w:proofErr w:type="spellEnd"/>
      <w:r w:rsidRPr="009F69E8">
        <w:rPr>
          <w:rFonts w:ascii="Times New Roman" w:eastAsia="Times New Roman" w:hAnsi="Times New Roman" w:cs="Times New Roman"/>
          <w:b/>
          <w:bCs/>
          <w:sz w:val="27"/>
          <w:lang w:eastAsia="uk-UA"/>
        </w:rPr>
        <w:t>.</w:t>
      </w:r>
    </w:p>
    <w:p w:rsidR="0003420D" w:rsidRPr="009F69E8" w:rsidRDefault="0003420D">
      <w:pPr>
        <w:rPr>
          <w:rFonts w:ascii="Times New Roman" w:hAnsi="Times New Roman" w:cs="Times New Roman"/>
        </w:rPr>
      </w:pPr>
    </w:p>
    <w:sectPr w:rsidR="0003420D" w:rsidRPr="009F69E8" w:rsidSect="00034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4CB"/>
    <w:multiLevelType w:val="multilevel"/>
    <w:tmpl w:val="29C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45BF3"/>
    <w:multiLevelType w:val="multilevel"/>
    <w:tmpl w:val="8CF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33318"/>
    <w:multiLevelType w:val="multilevel"/>
    <w:tmpl w:val="D2D2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5511C"/>
    <w:multiLevelType w:val="multilevel"/>
    <w:tmpl w:val="CAC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12A16"/>
    <w:multiLevelType w:val="multilevel"/>
    <w:tmpl w:val="821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69E8"/>
    <w:rsid w:val="0003420D"/>
    <w:rsid w:val="009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69E8"/>
    <w:rPr>
      <w:b/>
      <w:bCs/>
    </w:rPr>
  </w:style>
  <w:style w:type="character" w:styleId="a5">
    <w:name w:val="Hyperlink"/>
    <w:basedOn w:val="a0"/>
    <w:uiPriority w:val="99"/>
    <w:semiHidden/>
    <w:unhideWhenUsed/>
    <w:rsid w:val="009F69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novij-zakon-napravlenij-na-protidiyu-bulingu-peredbachaye-chitki-algoritmi-dij-u-vipadku-ckuvan-liliya-grinevi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us.org.ua/questions/shho-potribno-znaty-pro-antybulingovyj-zak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.ua/blog/201810/shcho-take-bulin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39F84E-CE4B-4F93-9C81-0724BE40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4950</Words>
  <Characters>2822</Characters>
  <Application>Microsoft Office Word</Application>
  <DocSecurity>0</DocSecurity>
  <Lines>23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2020-10-05T15:57:00Z</dcterms:created>
  <dcterms:modified xsi:type="dcterms:W3CDTF">2020-10-05T16:00:00Z</dcterms:modified>
</cp:coreProperties>
</file>