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7D" w:rsidRPr="00F04D7D" w:rsidRDefault="00F04D7D" w:rsidP="00F04D7D">
      <w:pPr>
        <w:jc w:val="center"/>
        <w:rPr>
          <w:rFonts w:ascii="Calibri" w:eastAsia="Calibri" w:hAnsi="Calibri" w:cs="Times New Roman"/>
          <w:lang w:val="uk-UA"/>
        </w:rPr>
      </w:pPr>
      <w:r w:rsidRPr="00F04D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BD3786" wp14:editId="6907BB5C">
            <wp:extent cx="619125" cy="733425"/>
            <wp:effectExtent l="19050" t="0" r="9525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УКРАЇНА</w:t>
      </w: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Лиманська міська рада</w:t>
      </w: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Управління освіти, молоді та спорту</w:t>
      </w: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ЗАРІЧНЕНСЬКА ЗАГАЛЬНООСВІТНЯ ШКОЛА І-ІІІ СТУПЕНІВ</w:t>
      </w:r>
    </w:p>
    <w:p w:rsidR="00F04D7D" w:rsidRPr="00F04D7D" w:rsidRDefault="00F04D7D" w:rsidP="00F04D7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F04D7D" w:rsidRPr="00F04D7D" w:rsidRDefault="00F04D7D" w:rsidP="00F04D7D">
      <w:pPr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>НАКАЗ</w:t>
      </w:r>
    </w:p>
    <w:p w:rsidR="00F04D7D" w:rsidRPr="00F04D7D" w:rsidRDefault="00F04D7D" w:rsidP="00F04D7D">
      <w:pPr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№ </w:t>
      </w:r>
      <w:r w:rsidR="004E18A0">
        <w:rPr>
          <w:rFonts w:ascii="Times New Roman" w:eastAsia="Calibri" w:hAnsi="Times New Roman" w:cs="Times New Roman"/>
          <w:sz w:val="26"/>
          <w:szCs w:val="26"/>
          <w:lang w:val="uk-UA"/>
        </w:rPr>
        <w:t>119</w:t>
      </w:r>
    </w:p>
    <w:p w:rsidR="00F04D7D" w:rsidRPr="00F04D7D" w:rsidRDefault="00F04D7D" w:rsidP="00F04D7D">
      <w:pPr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від </w:t>
      </w:r>
      <w:r w:rsidR="00D24C18">
        <w:rPr>
          <w:rFonts w:ascii="Times New Roman" w:eastAsia="Calibri" w:hAnsi="Times New Roman" w:cs="Times New Roman"/>
          <w:sz w:val="26"/>
          <w:szCs w:val="26"/>
          <w:lang w:val="uk-UA"/>
        </w:rPr>
        <w:t>04 жовтня 2021 року</w:t>
      </w:r>
    </w:p>
    <w:p w:rsidR="00F04D7D" w:rsidRPr="00F04D7D" w:rsidRDefault="00F04D7D" w:rsidP="00F04D7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затвердження положення </w:t>
      </w: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про академічну </w:t>
      </w:r>
    </w:p>
    <w:p w:rsidR="00F04D7D" w:rsidRPr="00F05974" w:rsidRDefault="00F04D7D" w:rsidP="00F04D7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доброчесність учасників освітнього процесу</w:t>
      </w:r>
    </w:p>
    <w:p w:rsidR="00F04D7D" w:rsidRPr="00F04D7D" w:rsidRDefault="00F04D7D" w:rsidP="00F04D7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Зар</w:t>
      </w: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і</w:t>
      </w: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чненсько</w:t>
      </w: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ї ЗОШ</w:t>
      </w: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 xml:space="preserve"> І-ІІІ ступенів</w:t>
      </w:r>
    </w:p>
    <w:p w:rsidR="00F04D7D" w:rsidRPr="00F04D7D" w:rsidRDefault="00F04D7D" w:rsidP="00F04D7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</w:pP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Лимансько</w:t>
      </w: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 xml:space="preserve">ї міської ради </w:t>
      </w:r>
      <w:r w:rsidRPr="00F04D7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Донецької</w:t>
      </w:r>
      <w:r w:rsidRPr="00F059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 xml:space="preserve"> області</w:t>
      </w:r>
    </w:p>
    <w:p w:rsidR="00F04D7D" w:rsidRPr="00F04D7D" w:rsidRDefault="00F04D7D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04D7D" w:rsidRPr="00F04D7D" w:rsidRDefault="00F04D7D" w:rsidP="00F04D7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ab/>
        <w:t>Відповідно до рішення педаго</w:t>
      </w:r>
      <w:r w:rsidR="00FA31F8">
        <w:rPr>
          <w:rFonts w:ascii="Times New Roman" w:eastAsia="Calibri" w:hAnsi="Times New Roman" w:cs="Times New Roman"/>
          <w:sz w:val="26"/>
          <w:szCs w:val="26"/>
          <w:lang w:val="uk-UA"/>
        </w:rPr>
        <w:t>гічної ради школи (протокол № 3 від 04.10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.2021</w:t>
      </w: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року)</w:t>
      </w:r>
    </w:p>
    <w:p w:rsidR="00F04D7D" w:rsidRPr="00F04D7D" w:rsidRDefault="00F04D7D" w:rsidP="00F04D7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04D7D" w:rsidRPr="00F04D7D" w:rsidRDefault="00F04D7D" w:rsidP="00F04D7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>НАКАЗУЮ:</w:t>
      </w:r>
    </w:p>
    <w:p w:rsidR="00F04D7D" w:rsidRPr="00F04D7D" w:rsidRDefault="00F04D7D" w:rsidP="00F04D7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04D7D" w:rsidRPr="00F04D7D" w:rsidRDefault="00F04D7D" w:rsidP="00F04D7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4D7D">
        <w:rPr>
          <w:rFonts w:ascii="Times New Roman" w:eastAsia="Calibri" w:hAnsi="Times New Roman" w:cs="Times New Roman"/>
          <w:sz w:val="26"/>
          <w:szCs w:val="26"/>
          <w:lang w:val="uk-UA"/>
        </w:rPr>
        <w:tab/>
        <w:t xml:space="preserve">1. Затвердити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положення про академічну доброчесність учасників освітнього процесу Зарічненської</w:t>
      </w:r>
      <w:r w:rsidR="00F0597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ЗОШ І-ІІІ ступенів Лиман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ської міської ради Донецької області (додаток 1).</w:t>
      </w:r>
    </w:p>
    <w:p w:rsidR="005957F5" w:rsidRDefault="005957F5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04D7D" w:rsidRDefault="00F04D7D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Директор школи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  <w:t>Володимир ЄВТУШЕНКО</w:t>
      </w:r>
    </w:p>
    <w:p w:rsidR="005957F5" w:rsidRDefault="005957F5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957F5" w:rsidRDefault="005957F5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46C27" w:rsidRDefault="00446C27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46C27" w:rsidRDefault="00446C27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27" w:rsidRDefault="00446C27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46C27" w:rsidRDefault="00446C27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46C27" w:rsidRDefault="00446C27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180E70" w:rsidRDefault="00180E70" w:rsidP="00180E70">
      <w:pPr>
        <w:shd w:val="clear" w:color="auto" w:fill="FFFFFF"/>
        <w:spacing w:after="0" w:line="300" w:lineRule="atLeast"/>
        <w:ind w:right="30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C87FD5" w:rsidRPr="00180E70" w:rsidRDefault="00C87FD5" w:rsidP="00180E70">
      <w:pPr>
        <w:shd w:val="clear" w:color="auto" w:fill="FFFFFF"/>
        <w:spacing w:after="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а також повторне використання раніше виконаної іншою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особою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письмової роботи (лабораторної, контрольної, самостійної, індивідуальної, тощо).</w:t>
      </w:r>
    </w:p>
    <w:p w:rsidR="00C87FD5" w:rsidRPr="00180E70" w:rsidRDefault="00C87FD5" w:rsidP="00C87FD5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Обман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є,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зокрема, академічний плагіат, самоплагіат, фабрикація, фальсифікація та списування.</w:t>
      </w:r>
    </w:p>
    <w:p w:rsidR="00C87FD5" w:rsidRPr="00180E70" w:rsidRDefault="00C87FD5" w:rsidP="00C87FD5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Хабарництво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ільг чи будь-яких інших благ матеріального чи нематеріального характеру з метою отримання неправомірної переваги в освітньому процесі.</w:t>
      </w:r>
    </w:p>
    <w:p w:rsidR="00C87FD5" w:rsidRPr="00180E70" w:rsidRDefault="00C87FD5" w:rsidP="00C87FD5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Зловживання впливом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пропозиція, обіцянка або надання неправомірної 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ішення особою, уповноваженою на виконання функцій держави.</w:t>
      </w:r>
    </w:p>
    <w:p w:rsidR="00C87FD5" w:rsidRPr="00180E70" w:rsidRDefault="00C87FD5" w:rsidP="00C87FD5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Необ’єктивне оцінювання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ідоме завищення або заниження оцінки результатів навчання здобувачів освіти.</w:t>
      </w:r>
    </w:p>
    <w:p w:rsidR="00C87FD5" w:rsidRPr="00180E70" w:rsidRDefault="00C87FD5" w:rsidP="00C87FD5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надання здобувачам освіти </w:t>
      </w:r>
      <w:proofErr w:type="gramStart"/>
      <w:r w:rsidRPr="00180E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80E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</w:t>
      </w:r>
      <w:r w:rsidRPr="00180E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Етика  та академічна  доброчесність забезпечуються: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val="uk-UA" w:eastAsia="ru-RU"/>
        </w:rPr>
        <w:tab/>
        <w:t xml:space="preserve">      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2.3.1</w:t>
      </w: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 учасниками освітнього процесу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шляхом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дотримання Конвенції ООН «Про права дитини», Конституції, законів України;</w:t>
      </w:r>
      <w:proofErr w:type="gramEnd"/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утвердження позитивного і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іджу школи, примноження її традицій;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дотримання етичних норм спілкування на засадах партнерства, взаємоповаги, толерантності стосункі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запобігання корупції, хабарництву;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збереження, поліпшення  та раціонального  використання навчально-матеріальної бази школи;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дотримання спеціальних законів за порушення академічної доброчесності та даного Положення, зокрема, посилання на джерела інформації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разі використання ідей, тверджень, відомостей;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дотримання  норм про авторські права;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надання правдивої  інформації про результати власної навчальної (наукової, творчої) діяльності;</w:t>
      </w:r>
    </w:p>
    <w:p w:rsidR="00C87FD5" w:rsidRPr="00180E70" w:rsidRDefault="00C87FD5" w:rsidP="00C87FD5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невідворотності відповідальності з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ідстав та в порядку,  визначених відповідно Законом України «Про освіту» та іншими спеціальними законами.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2.3.2.</w:t>
      </w: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здобувачами освіти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шляхом:</w:t>
      </w:r>
    </w:p>
    <w:p w:rsidR="00C87FD5" w:rsidRPr="00180E70" w:rsidRDefault="00C87FD5" w:rsidP="00C87FD5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самостійного  виконання навчальних завдань поточного та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(самостійні, контрольні, ДПА);</w:t>
      </w:r>
    </w:p>
    <w:p w:rsidR="00C87FD5" w:rsidRPr="00180E70" w:rsidRDefault="00C87FD5" w:rsidP="00C87FD5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особистою присутністю на всіх заняттях,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ім випадків, викликаних поважними причинами.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2.3.3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r w:rsidRPr="00180E70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педагогічними працівниками</w:t>
      </w:r>
      <w:r w:rsidRPr="00180E7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шляхом: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надання якісних освітніх послуг з використанням в практичній професійній  діяльності  інноваційних здобутків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галузі освіти;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обов’язкової присутності, активної участі на засіданнях  педагогічної ради та  колегіальної відповідальності за прийняті управлінські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ішення;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незалежності професійної діяльності  від політичних партій, громадських і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рел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ігійних організацій;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ідвищення професійного рівня шляхом саморозвитку і самовдосконалення, проходження вчасно  курсової підготовки;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дотримання правил внутрішнього розпорядку, трудової дисципліни, корпоративної етики;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об’єктивного і неупередженого оцінювання результатів навчання здобувачів  освіти;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здійснення контролю за дотриманням академічної доброчесності здобувачами освіти;</w:t>
      </w:r>
    </w:p>
    <w:p w:rsidR="00C87FD5" w:rsidRPr="00180E70" w:rsidRDefault="00C87FD5" w:rsidP="00C87FD5">
      <w:pPr>
        <w:numPr>
          <w:ilvl w:val="0"/>
          <w:numId w:val="4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інформування здобувачів освіти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типові порушення академічної доброчесності та види відповідальності за її порушення.</w:t>
      </w:r>
      <w:r w:rsidRPr="00180E70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87FD5" w:rsidRPr="00180E70" w:rsidRDefault="00C87FD5" w:rsidP="00C87FD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eastAsia="ru-RU"/>
        </w:rPr>
        <w:t>ІІІ. Заходи з попередження, виявлення та встановлення факті</w:t>
      </w:r>
      <w:proofErr w:type="gramStart"/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C87FD5" w:rsidRPr="00180E70" w:rsidRDefault="00C87FD5" w:rsidP="00C87FD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eastAsia="ru-RU"/>
        </w:rPr>
        <w:t>порушення етики та академічної доброчесності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 При прийомі на роботу працівник знайомиться із даним Положенням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 розписку після ознайомлення із правилами внутрішнього розпорядку школи.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Положення доводиться до батьківської громади, оприлюднюється на сайті школи.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іністрація школи: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3.3.1. Забезпечують попередження порушень академічної доброчесності шляхом практикумів, консультацій та інших колективних та індивідуальних форм навчання з педагогічними працівниками щодо створення, оформлення  ними методичних розробок  (робіт) для публікацій, на конкурси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ізного рівня;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3.3.2. Використовують у своїй діяльності (рецензування робіт  на конкурси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ізного рівня,  на присвоєння  педагогічного звання) та  рекомендують вчителям сервіси безкоштовної перевірки робіт на антиплагіат.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3.4. Педагогічні працівники, в процесі своєї освітньої діяльності, дотримуються етики та академічної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доброчесності, умов даного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Положення, проводять роз’яснювальну роботу із здобувачами освіти щодо норм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етичної поведінки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та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неприпустимості порушення академічної доброчесності (плагіат, порушення правил оформлення цитування, посилання на джерела інформації,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списування).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3.5. Для прийняття рішення про призначення відповідальності за списуванння створюється шкільна комісія з попередження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списування здобувачами освіти (далі – комісія) у складі класного керівника, вчителя-предметника, представника учнівського самоврядування класу.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3.6. Комісія в разі встановлення фактів списування надає рекомендації щодо обрання форми відповідальності (повторне проходження оцінювання, відповідного освітнього компонента освітньої програми)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з урахуванням індивідуальних результатів освітньої діяльності здобувача.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</w:p>
    <w:p w:rsidR="00C87FD5" w:rsidRPr="00180E70" w:rsidRDefault="00C87FD5" w:rsidP="00180E7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eastAsia="ru-RU"/>
        </w:rPr>
        <w:t>IV. Види відповідальності за порушення академічної доброчесності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4.1. Види академічної відповідальності за конкретне порушення академічної доброчинності визначають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іальні закони та внутрішнє Положення школи.</w:t>
      </w:r>
    </w:p>
    <w:tbl>
      <w:tblPr>
        <w:tblW w:w="9998" w:type="dxa"/>
        <w:tblBorders>
          <w:top w:val="single" w:sz="6" w:space="0" w:color="00FEE9"/>
          <w:left w:val="single" w:sz="6" w:space="0" w:color="00FEE9"/>
          <w:bottom w:val="single" w:sz="6" w:space="0" w:color="00FEE9"/>
          <w:right w:val="single" w:sz="6" w:space="0" w:color="00FEE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417"/>
        <w:gridCol w:w="2410"/>
        <w:gridCol w:w="2126"/>
        <w:gridCol w:w="2552"/>
      </w:tblGrid>
      <w:tr w:rsidR="00C87FD5" w:rsidRPr="00180E70" w:rsidTr="006E1196">
        <w:tc>
          <w:tcPr>
            <w:tcW w:w="1493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Порушення</w:t>
            </w:r>
          </w:p>
          <w:p w:rsidR="00C87FD5" w:rsidRPr="00180E70" w:rsidRDefault="00C87FD5" w:rsidP="006E1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академічної доброчесності</w:t>
            </w:r>
          </w:p>
        </w:tc>
        <w:tc>
          <w:tcPr>
            <w:tcW w:w="1417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Суб’єкти</w:t>
            </w:r>
          </w:p>
          <w:p w:rsidR="00C87FD5" w:rsidRPr="00180E70" w:rsidRDefault="00C87FD5" w:rsidP="006E1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порушення</w:t>
            </w:r>
          </w:p>
        </w:tc>
        <w:tc>
          <w:tcPr>
            <w:tcW w:w="241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Обставини та умови  порушення</w:t>
            </w:r>
          </w:p>
          <w:p w:rsidR="00C87FD5" w:rsidRPr="00180E70" w:rsidRDefault="00C87FD5" w:rsidP="006E1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академічної доброчесності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Наслідки  і форма відповідальності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Орган/посадова особа, який приймає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ішення про призначення</w:t>
            </w:r>
          </w:p>
          <w:p w:rsidR="00C87FD5" w:rsidRPr="00180E70" w:rsidRDefault="00C87FD5" w:rsidP="006E1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виду відповідальності</w:t>
            </w:r>
          </w:p>
        </w:tc>
      </w:tr>
      <w:tr w:rsidR="00C87FD5" w:rsidRPr="00180E70" w:rsidTr="006E1196">
        <w:tc>
          <w:tcPr>
            <w:tcW w:w="1493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Списування</w:t>
            </w:r>
          </w:p>
        </w:tc>
        <w:tc>
          <w:tcPr>
            <w:tcW w:w="1417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Здобувачі освіти</w:t>
            </w:r>
          </w:p>
        </w:tc>
        <w:tc>
          <w:tcPr>
            <w:tcW w:w="241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самостійні роботи;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контрольні роботи;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контрольні зрізи знань;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ічне оцінювання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  екстернів)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моніторинги якості знань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Повторне письмове проходження оцінювання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термін -1 тиждень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повторне проходження відповідного освітнього компонента освітньої програми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C87FD5" w:rsidRPr="00180E70" w:rsidTr="006E1196">
        <w:tc>
          <w:tcPr>
            <w:tcW w:w="1493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center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center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державна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ідсумкова атестація;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ічне оцінювання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  екстернів)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Повторне проходження оцінювання  за графіком проведення  ДПА у школі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зарахування  результаті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Атестаційна комісія державної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ідсумкової атестації</w:t>
            </w:r>
          </w:p>
        </w:tc>
      </w:tr>
      <w:tr w:rsidR="00C87FD5" w:rsidRPr="00180E70" w:rsidTr="006E1196">
        <w:tc>
          <w:tcPr>
            <w:tcW w:w="1493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center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center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-І ета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шкільний) Всеукраїнських  учнівських олімпіад, конкурсів;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учасника анулюється, не оцінюється.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повторних випадків списування учасник не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допускається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участі в інших  олімпіадах, конкурсах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Оргкомітет, журі</w:t>
            </w:r>
          </w:p>
        </w:tc>
      </w:tr>
      <w:tr w:rsidR="00C87FD5" w:rsidRPr="00180E70" w:rsidTr="006E1196">
        <w:tc>
          <w:tcPr>
            <w:tcW w:w="1493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Необ’єктивне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оцінювання результатів навчання здобувачі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Педагогічні працівники</w:t>
            </w:r>
          </w:p>
        </w:tc>
        <w:tc>
          <w:tcPr>
            <w:tcW w:w="241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ідоме завищення або заниження оцінки результатів навчання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-усні відповіді;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-домашні роботи;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-контрольні роботи;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-лабораторні та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роботи;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-ДПА;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-тематичне оцінювання;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моніторинги;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-олімпіадні та конкурсні роботи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Педагогічному працівнику рекомендується опрацювати критерії оцінювання знань. Факти  систематичних порушень враховуються  при встановленні кваліфікаційної категорії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присвоєнні педагогічних  </w:t>
            </w:r>
          </w:p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звань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 школи, атестаційні  комісії усіх рівнів</w:t>
            </w:r>
          </w:p>
        </w:tc>
      </w:tr>
      <w:tr w:rsidR="00C87FD5" w:rsidRPr="00180E70" w:rsidTr="006E1196">
        <w:tc>
          <w:tcPr>
            <w:tcW w:w="1493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Обман: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Фальсифікація</w:t>
            </w:r>
          </w:p>
        </w:tc>
        <w:tc>
          <w:tcPr>
            <w:tcW w:w="1417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Педагогічні працівники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 автори</w:t>
            </w:r>
          </w:p>
        </w:tc>
        <w:tc>
          <w:tcPr>
            <w:tcW w:w="2410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-методичні рекомендації;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-навчальний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-навчально-методичний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-наочний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-практичний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-навчальний наочний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-збірка;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-методична збірка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-методичний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-стаття;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-методична розробка</w:t>
            </w:r>
          </w:p>
        </w:tc>
        <w:tc>
          <w:tcPr>
            <w:tcW w:w="2126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випадку встановлення порушень такого порядку: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спотворене представлення у методичних </w:t>
            </w: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розробках, публікаціях чужих розробок, ідей, синтезу або компіляції чужих джерел, використання Інтернету без посилань, фальсифікація наукових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іджень, неправдива інформація про власну освітню діяльність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ідставою для відмови в присвоєнні або позбавлені раніше присвоєного педагогічного звання, кваліфікаційної категорії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разі встановлення в атестаційний період  фактів списування здобувачами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контрольних зрізів знань, фальсифікації результатів власної педагогічної діяльності</w:t>
            </w:r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 педагогічного працівника І,ІІ кваліфікаційної категорії</w:t>
            </w:r>
          </w:p>
        </w:tc>
        <w:tc>
          <w:tcPr>
            <w:tcW w:w="2552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Педагогічна та методичні  </w:t>
            </w:r>
            <w:proofErr w:type="gramStart"/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C87FD5" w:rsidRPr="00180E70" w:rsidRDefault="00C87FD5" w:rsidP="006E1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школи, атестаційні комісії школи</w:t>
            </w:r>
          </w:p>
        </w:tc>
      </w:tr>
      <w:tr w:rsidR="00C87FD5" w:rsidRPr="00180E70" w:rsidTr="006E1196">
        <w:tc>
          <w:tcPr>
            <w:tcW w:w="1493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Фабрикація</w:t>
            </w:r>
          </w:p>
        </w:tc>
        <w:tc>
          <w:tcPr>
            <w:tcW w:w="1417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D5" w:rsidRPr="00180E70" w:rsidTr="006E1196">
        <w:tc>
          <w:tcPr>
            <w:tcW w:w="1493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Плагіат</w:t>
            </w:r>
          </w:p>
        </w:tc>
        <w:tc>
          <w:tcPr>
            <w:tcW w:w="1417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vAlign w:val="bottom"/>
            <w:hideMark/>
          </w:tcPr>
          <w:p w:rsidR="00C87FD5" w:rsidRPr="00180E70" w:rsidRDefault="00C87FD5" w:rsidP="006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/>
        </w:rPr>
      </w:pPr>
      <w:r w:rsidRPr="00180E70">
        <w:rPr>
          <w:color w:val="333333"/>
          <w:lang w:val="uk-UA"/>
        </w:rPr>
        <w:lastRenderedPageBreak/>
        <w:t>4.2</w:t>
      </w:r>
      <w:r w:rsidRPr="00180E70">
        <w:rPr>
          <w:color w:val="333333"/>
        </w:rPr>
        <w:t>.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</w:t>
      </w:r>
      <w:proofErr w:type="gramStart"/>
      <w:r w:rsidRPr="00180E70">
        <w:rPr>
          <w:color w:val="333333"/>
        </w:rPr>
        <w:t>в</w:t>
      </w:r>
      <w:proofErr w:type="gramEnd"/>
      <w:r w:rsidRPr="00180E70">
        <w:rPr>
          <w:color w:val="333333"/>
        </w:rPr>
        <w:t>.</w:t>
      </w:r>
      <w:bookmarkStart w:id="0" w:name="n648"/>
      <w:bookmarkEnd w:id="0"/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 w:rsidRPr="00180E70">
        <w:rPr>
          <w:color w:val="333333"/>
        </w:rPr>
        <w:t>Кожна особа, стосовно якої порушено питання про порушення нею академічної доброчесності, має такі права:</w:t>
      </w:r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" w:name="n649"/>
      <w:bookmarkEnd w:id="1"/>
      <w:r w:rsidRPr="00180E70">
        <w:rPr>
          <w:color w:val="333333"/>
          <w:lang w:val="uk-UA"/>
        </w:rPr>
        <w:t xml:space="preserve">- </w:t>
      </w:r>
      <w:r w:rsidRPr="00180E70">
        <w:rPr>
          <w:color w:val="333333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" w:name="n650"/>
      <w:bookmarkEnd w:id="2"/>
      <w:r w:rsidRPr="00180E70">
        <w:rPr>
          <w:color w:val="333333"/>
          <w:lang w:val="uk-UA"/>
        </w:rPr>
        <w:lastRenderedPageBreak/>
        <w:t xml:space="preserve">- </w:t>
      </w:r>
      <w:r w:rsidRPr="00180E70">
        <w:rPr>
          <w:color w:val="333333"/>
        </w:rPr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/>
        </w:rPr>
      </w:pPr>
      <w:bookmarkStart w:id="3" w:name="n651"/>
      <w:bookmarkEnd w:id="3"/>
      <w:r w:rsidRPr="00180E70">
        <w:rPr>
          <w:color w:val="333333"/>
          <w:lang w:val="uk-UA"/>
        </w:rPr>
        <w:t xml:space="preserve">- </w:t>
      </w:r>
      <w:r w:rsidRPr="00180E70">
        <w:rPr>
          <w:color w:val="333333"/>
        </w:rPr>
        <w:t xml:space="preserve"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 </w:t>
      </w:r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/>
        </w:rPr>
      </w:pPr>
      <w:bookmarkStart w:id="4" w:name="n652"/>
      <w:bookmarkEnd w:id="4"/>
      <w:r w:rsidRPr="00180E70">
        <w:rPr>
          <w:color w:val="333333"/>
          <w:lang w:val="uk-UA"/>
        </w:rPr>
        <w:t xml:space="preserve">- </w:t>
      </w:r>
      <w:r w:rsidRPr="00180E70">
        <w:rPr>
          <w:color w:val="333333"/>
        </w:rPr>
        <w:t>оскаржити рішення про притягнення до академічної відповідальності до органу, уповноваженого розглядати апеляції, або до суду</w:t>
      </w:r>
      <w:r w:rsidRPr="00180E70">
        <w:rPr>
          <w:color w:val="333333"/>
          <w:lang w:val="uk-UA"/>
        </w:rPr>
        <w:t>.</w:t>
      </w:r>
    </w:p>
    <w:p w:rsidR="00C87FD5" w:rsidRPr="00180E70" w:rsidRDefault="00C87FD5" w:rsidP="00C87FD5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333333"/>
        </w:rPr>
      </w:pPr>
      <w:r w:rsidRPr="00180E70">
        <w:rPr>
          <w:bCs/>
          <w:color w:val="555555"/>
          <w:bdr w:val="none" w:sz="0" w:space="0" w:color="auto" w:frame="1"/>
        </w:rPr>
        <w:br/>
      </w:r>
      <w:r w:rsidRPr="00180E70">
        <w:rPr>
          <w:b/>
          <w:bCs/>
          <w:color w:val="555555"/>
          <w:bdr w:val="none" w:sz="0" w:space="0" w:color="auto" w:frame="1"/>
          <w:lang w:val="uk-UA"/>
        </w:rPr>
        <w:t xml:space="preserve">        </w:t>
      </w:r>
      <w:r w:rsidRPr="00180E70">
        <w:rPr>
          <w:b/>
          <w:bCs/>
          <w:i/>
          <w:color w:val="555555"/>
          <w:bdr w:val="none" w:sz="0" w:space="0" w:color="auto" w:frame="1"/>
          <w:lang w:val="uk-UA"/>
        </w:rPr>
        <w:t xml:space="preserve">   </w:t>
      </w:r>
      <w:r w:rsidRPr="00180E70">
        <w:rPr>
          <w:b/>
          <w:bCs/>
          <w:i/>
          <w:color w:val="555555"/>
          <w:bdr w:val="none" w:sz="0" w:space="0" w:color="auto" w:frame="1"/>
        </w:rPr>
        <w:t>V. Комі</w:t>
      </w:r>
      <w:proofErr w:type="gramStart"/>
      <w:r w:rsidRPr="00180E70">
        <w:rPr>
          <w:b/>
          <w:bCs/>
          <w:i/>
          <w:color w:val="555555"/>
          <w:bdr w:val="none" w:sz="0" w:space="0" w:color="auto" w:frame="1"/>
        </w:rPr>
        <w:t>с</w:t>
      </w:r>
      <w:proofErr w:type="gramEnd"/>
      <w:r w:rsidRPr="00180E70">
        <w:rPr>
          <w:b/>
          <w:bCs/>
          <w:i/>
          <w:color w:val="555555"/>
          <w:bdr w:val="none" w:sz="0" w:space="0" w:color="auto" w:frame="1"/>
        </w:rPr>
        <w:t>ія з питань академічної доброчесності та етики педагогічних працівників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5.1. Комісія</w:t>
      </w:r>
      <w:r w:rsidRPr="00180E70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з питань академічної доброчесності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та етики педагогічних працівників – незалежний орган для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розгляду питань, пов’язаних із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порушенням Положення та моніторингу щодо взаємного дотримання усіма учасниками освітнього процесу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морально-етичних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норм поведінки та правових норм цього Положення.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 До складу Комісії входять представники педагогічного колективу, батьківської громади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згодою).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5.2.1. Персональний склад  Комісії затверджується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ішенням педагогічної ради.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5.2.2. Голова, заступник голови та секретар Комісії обираються з числа осіб, що входять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неї.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5.2.3. Голова веде засідання,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ідписує протоколи та рішення тощо.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5.2.4. За відсутності голови Комісії його обов’язки виконує заступник.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5.2.5. Секретар Комісії здійснює повноваження щодо ведення протоколу засідання,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ічної підготовки матеріалів до розгляду їх на засіданні тощо.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</w:t>
      </w: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5.2.6. Термін повноважень Комісії – 1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ік.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5.3. Комі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розглядає питання порушення морально-етичних норм  поведінки та правових норм цього Положення  за потребою або ж заявою учасників освітнього процесу.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 Комі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ія має такі повноваження: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Виявляти та встановлювати факти порушення академічної доброчесності учасників освітнього процесу школи.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Проводити інформаційну роботу щодо популяризації принципів академічної доброчесності серед учасників освітнього процесу.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Готувати пропозиції, надавати рекомендації та консультації  щодо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ідвищення ефективності впровадження принципів академічної доброчесності в освітню діяльність школи.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Отримувати і розглядати заяви за умови, якщо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вони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носять не анонімний характер, щодо порушення академічної доброчесності учасників освітнього процесу школи.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Залучати до своєї роботи експертів з відповідних галузей, а також використовувати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ічні і програмні засоби для встановлення фактів порушення норм академічної доброчесності за поданою заявою.</w:t>
      </w:r>
    </w:p>
    <w:p w:rsidR="00C87FD5" w:rsidRPr="00180E70" w:rsidRDefault="00C87FD5" w:rsidP="00C87FD5">
      <w:pPr>
        <w:numPr>
          <w:ilvl w:val="0"/>
          <w:numId w:val="5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Доводити результати розгляду заяв щодо порушення академічної доброчесності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ідома директора школи для подальшого реагування.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5.5. Свої повноваження Комісія здійснює за умови, що кількість її членів, присутніх на засіданні, складатиме не менше ніж дві третини її складу.</w:t>
      </w:r>
    </w:p>
    <w:p w:rsidR="00C87FD5" w:rsidRDefault="00C87FD5" w:rsidP="00C87FD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5.6. Комісія звітує про свою роботу двічі на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ік.</w:t>
      </w:r>
    </w:p>
    <w:p w:rsidR="005F0D2F" w:rsidRDefault="005F0D2F" w:rsidP="00C87FD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F0D2F" w:rsidRPr="00180E70" w:rsidRDefault="005F0D2F" w:rsidP="00C87FD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bookmarkStart w:id="5" w:name="_GoBack"/>
      <w:bookmarkEnd w:id="5"/>
    </w:p>
    <w:p w:rsidR="00C87FD5" w:rsidRPr="00180E70" w:rsidRDefault="00C87FD5" w:rsidP="00C87FD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</w:p>
    <w:p w:rsidR="00C87FD5" w:rsidRPr="00180E70" w:rsidRDefault="00C87FD5" w:rsidP="00C87FD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VI</w:t>
      </w:r>
      <w:r w:rsidRPr="00180E70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bdr w:val="none" w:sz="0" w:space="0" w:color="auto" w:frame="1"/>
          <w:lang w:val="uk-UA" w:eastAsia="ru-RU"/>
        </w:rPr>
        <w:t>. Прикінцеві положення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6.1. Положення ухвалюється педагогічною радою школи більшістю голосів і набирає чинності з моменту схвалення.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6.2.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Школа забезпечує публічний доступ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тексту Положення через власний офіційний сайт.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6.3. Зміни та доповнення до Положення можуть </w:t>
      </w:r>
      <w:proofErr w:type="gramStart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бути</w:t>
      </w:r>
      <w:proofErr w:type="gramEnd"/>
      <w:r w:rsidRPr="00180E7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внесені будь-яким учасником освітнього процесу за поданням до педагогічної ради школи та вводяться в дію наказом директора школи.</w:t>
      </w:r>
    </w:p>
    <w:p w:rsidR="00C87FD5" w:rsidRPr="00180E70" w:rsidRDefault="00C87FD5" w:rsidP="00C87FD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</w:p>
    <w:p w:rsidR="00C87FD5" w:rsidRPr="00180E70" w:rsidRDefault="00C87FD5" w:rsidP="00C8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VI</w:t>
      </w:r>
      <w:r w:rsidRPr="00180E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І. Використані джерела</w:t>
      </w:r>
    </w:p>
    <w:p w:rsidR="00C87FD5" w:rsidRPr="00180E70" w:rsidRDefault="00C87FD5" w:rsidP="00C8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18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1.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  <w:lang w:val="uk-UA"/>
        </w:rPr>
        <w:t xml:space="preserve"> 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</w:rPr>
        <w:t>Abetka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  <w:lang w:val="uk-UA"/>
        </w:rPr>
        <w:t>_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</w:rPr>
        <w:t>dlya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  <w:lang w:val="uk-UA"/>
        </w:rPr>
        <w:t>_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</w:rPr>
        <w:t>Direktora</w:t>
      </w:r>
      <w:r w:rsidRPr="00180E70">
        <w:rPr>
          <w:rFonts w:ascii="Times New Roman" w:hAnsi="Times New Roman" w:cs="Times New Roman"/>
          <w:color w:val="FFFFFF"/>
          <w:sz w:val="24"/>
          <w:szCs w:val="24"/>
          <w:shd w:val="clear" w:color="auto" w:fill="323639"/>
          <w:lang w:val="uk-UA"/>
        </w:rPr>
        <w:t>_2020_</w:t>
      </w:r>
    </w:p>
    <w:p w:rsidR="00C87FD5" w:rsidRPr="00180E70" w:rsidRDefault="00C87FD5" w:rsidP="00C87FD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Довідник з академічної доброчесності </w:t>
      </w:r>
      <w:proofErr w:type="gramStart"/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школярів/уклад. М. В. Григор’єва, О. І. Крикова, С. Г. </w:t>
      </w:r>
      <w:proofErr w:type="gramStart"/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євко; за заг. ред. О. О. Гужви. – Х.: ХНУ ім. В. Н. Каразіна, 2016. – 64 с. </w:t>
      </w:r>
    </w:p>
    <w:p w:rsidR="00C87FD5" w:rsidRPr="00180E70" w:rsidRDefault="00C87FD5" w:rsidP="00C87FD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сприяння академічній доброчесності в Україні [Електронний ресурс]   Режим доступу: </w:t>
      </w:r>
      <w:r w:rsidRPr="00180E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https://saiup.org.ua/ </w:t>
      </w:r>
    </w:p>
    <w:p w:rsidR="00C87FD5" w:rsidRPr="00180E70" w:rsidRDefault="00C87FD5" w:rsidP="00C87FD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180E70">
        <w:rPr>
          <w:color w:val="000000"/>
          <w:lang w:val="uk-UA"/>
        </w:rPr>
        <w:t>4</w:t>
      </w:r>
      <w:r w:rsidRPr="00180E70">
        <w:rPr>
          <w:color w:val="000000"/>
        </w:rPr>
        <w:t>. Положення про академічну доброчесність у</w:t>
      </w:r>
      <w:r w:rsidRPr="00180E70">
        <w:rPr>
          <w:color w:val="000000"/>
          <w:lang w:val="uk-UA"/>
        </w:rPr>
        <w:t xml:space="preserve"> </w:t>
      </w:r>
      <w:r w:rsidRPr="00180E70">
        <w:rPr>
          <w:bCs/>
          <w:color w:val="555555"/>
          <w:bdr w:val="none" w:sz="0" w:space="0" w:color="auto" w:frame="1"/>
        </w:rPr>
        <w:t xml:space="preserve"> Черкаської </w:t>
      </w:r>
      <w:proofErr w:type="gramStart"/>
      <w:r w:rsidRPr="00180E70">
        <w:rPr>
          <w:bCs/>
          <w:color w:val="555555"/>
          <w:bdr w:val="none" w:sz="0" w:space="0" w:color="auto" w:frame="1"/>
        </w:rPr>
        <w:t>спец</w:t>
      </w:r>
      <w:proofErr w:type="gramEnd"/>
      <w:r w:rsidRPr="00180E70">
        <w:rPr>
          <w:bCs/>
          <w:color w:val="555555"/>
          <w:bdr w:val="none" w:sz="0" w:space="0" w:color="auto" w:frame="1"/>
        </w:rPr>
        <w:t>іалізованої школи І-ІІІ ступенів №</w:t>
      </w:r>
      <w:r w:rsidRPr="00180E70">
        <w:rPr>
          <w:bCs/>
          <w:color w:val="555555"/>
          <w:bdr w:val="none" w:sz="0" w:space="0" w:color="auto" w:frame="1"/>
          <w:lang w:val="uk-UA"/>
        </w:rPr>
        <w:t xml:space="preserve"> </w:t>
      </w:r>
      <w:r w:rsidRPr="00180E70">
        <w:rPr>
          <w:bCs/>
          <w:color w:val="555555"/>
          <w:bdr w:val="none" w:sz="0" w:space="0" w:color="auto" w:frame="1"/>
        </w:rPr>
        <w:t>3</w:t>
      </w:r>
      <w:r w:rsidRPr="00180E70">
        <w:rPr>
          <w:bCs/>
          <w:color w:val="555555"/>
          <w:bdr w:val="none" w:sz="0" w:space="0" w:color="auto" w:frame="1"/>
          <w:lang w:val="uk-UA"/>
        </w:rPr>
        <w:t xml:space="preserve"> </w:t>
      </w:r>
      <w:r w:rsidRPr="00180E70">
        <w:rPr>
          <w:bCs/>
          <w:color w:val="555555"/>
          <w:bdr w:val="none" w:sz="0" w:space="0" w:color="auto" w:frame="1"/>
        </w:rPr>
        <w:t>Черкаської міської ради Черкаської області</w:t>
      </w:r>
    </w:p>
    <w:p w:rsidR="00C87FD5" w:rsidRPr="00C87FD5" w:rsidRDefault="00C87FD5" w:rsidP="00F04D7D">
      <w:pPr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7081A" w:rsidRPr="00F04D7D" w:rsidRDefault="00F7081A">
      <w:pPr>
        <w:rPr>
          <w:lang w:val="uk-UA"/>
        </w:rPr>
      </w:pPr>
    </w:p>
    <w:sectPr w:rsidR="00F7081A" w:rsidRPr="00F0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1A5"/>
    <w:multiLevelType w:val="multilevel"/>
    <w:tmpl w:val="0096E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45EB8"/>
    <w:multiLevelType w:val="multilevel"/>
    <w:tmpl w:val="03F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B0E3C"/>
    <w:multiLevelType w:val="multilevel"/>
    <w:tmpl w:val="685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092C8C"/>
    <w:multiLevelType w:val="multilevel"/>
    <w:tmpl w:val="47A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21AFD"/>
    <w:multiLevelType w:val="multilevel"/>
    <w:tmpl w:val="3DC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1C12F1"/>
    <w:multiLevelType w:val="multilevel"/>
    <w:tmpl w:val="BAD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7D"/>
    <w:rsid w:val="00180E70"/>
    <w:rsid w:val="00446C27"/>
    <w:rsid w:val="004E18A0"/>
    <w:rsid w:val="005957F5"/>
    <w:rsid w:val="005F0D2F"/>
    <w:rsid w:val="00C87FD5"/>
    <w:rsid w:val="00D24C18"/>
    <w:rsid w:val="00F04D7D"/>
    <w:rsid w:val="00F05974"/>
    <w:rsid w:val="00F7081A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8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2021-10-05T12:51:00Z</cp:lastPrinted>
  <dcterms:created xsi:type="dcterms:W3CDTF">2021-10-05T07:29:00Z</dcterms:created>
  <dcterms:modified xsi:type="dcterms:W3CDTF">2021-10-08T05:31:00Z</dcterms:modified>
</cp:coreProperties>
</file>