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BB" w:rsidRPr="005924BB" w:rsidRDefault="005924BB" w:rsidP="005924BB">
      <w:pPr>
        <w:keepNext/>
        <w:keepLines/>
        <w:suppressAutoHyphens/>
        <w:autoSpaceDN w:val="0"/>
        <w:spacing w:before="240" w:after="0" w:line="360" w:lineRule="auto"/>
        <w:ind w:left="-45" w:firstLine="15"/>
        <w:jc w:val="center"/>
        <w:outlineLvl w:val="0"/>
        <w:rPr>
          <w:rFonts w:ascii="Arial" w:eastAsia="Lucida Sans Unicode" w:hAnsi="Arial" w:cs="Tahoma"/>
          <w:b/>
          <w:color w:val="2F393E"/>
          <w:kern w:val="3"/>
          <w:sz w:val="30"/>
          <w:szCs w:val="30"/>
          <w:lang w:val="uk-UA"/>
        </w:rPr>
      </w:pPr>
      <w:r w:rsidRPr="005924BB">
        <w:rPr>
          <w:rFonts w:ascii="Arial" w:eastAsia="Lucida Sans Unicode" w:hAnsi="Arial" w:cs="Tahoma"/>
          <w:b/>
          <w:bCs/>
          <w:i/>
          <w:iCs/>
          <w:color w:val="2F393E"/>
          <w:kern w:val="3"/>
          <w:sz w:val="30"/>
          <w:szCs w:val="30"/>
          <w:lang w:val="uk-UA"/>
        </w:rPr>
        <w:t xml:space="preserve">Адміністративна відповідальність за </w:t>
      </w:r>
      <w:proofErr w:type="spellStart"/>
      <w:r w:rsidRPr="005924BB">
        <w:rPr>
          <w:rFonts w:ascii="Arial" w:eastAsia="Lucida Sans Unicode" w:hAnsi="Arial" w:cs="Tahoma"/>
          <w:b/>
          <w:bCs/>
          <w:i/>
          <w:iCs/>
          <w:color w:val="2F393E"/>
          <w:kern w:val="3"/>
          <w:sz w:val="30"/>
          <w:szCs w:val="30"/>
          <w:lang w:val="uk-UA"/>
        </w:rPr>
        <w:t>булінг</w:t>
      </w:r>
      <w:proofErr w:type="spellEnd"/>
      <w:r w:rsidRPr="005924BB">
        <w:rPr>
          <w:rFonts w:ascii="Arial" w:eastAsia="Lucida Sans Unicode" w:hAnsi="Arial" w:cs="Tahoma"/>
          <w:b/>
          <w:bCs/>
          <w:i/>
          <w:iCs/>
          <w:color w:val="2F393E"/>
          <w:kern w:val="3"/>
          <w:sz w:val="30"/>
          <w:szCs w:val="30"/>
          <w:lang w:val="uk-UA"/>
        </w:rPr>
        <w:t>: судове рішення</w:t>
      </w:r>
    </w:p>
    <w:p w:rsidR="005924BB" w:rsidRPr="005924BB" w:rsidRDefault="005924BB" w:rsidP="005924BB">
      <w:pPr>
        <w:keepNext/>
        <w:keepLines/>
        <w:suppressAutoHyphens/>
        <w:autoSpaceDN w:val="0"/>
        <w:spacing w:before="240" w:after="0"/>
        <w:ind w:firstLine="510"/>
        <w:jc w:val="both"/>
        <w:outlineLvl w:val="0"/>
        <w:rPr>
          <w:rFonts w:ascii="Roboto, sans-serif" w:eastAsia="Lucida Sans Unicode" w:hAnsi="Roboto, sans-serif" w:cs="Times New Roman"/>
          <w:b/>
          <w:color w:val="2F393E"/>
          <w:kern w:val="3"/>
          <w:sz w:val="34"/>
          <w:szCs w:val="32"/>
          <w:lang w:val="uk-UA"/>
        </w:rPr>
      </w:pPr>
      <w:r w:rsidRPr="005924BB">
        <w:rPr>
          <w:rFonts w:ascii="Roboto, sans-serif" w:eastAsia="Lucida Sans Unicode" w:hAnsi="Roboto, sans-serif" w:cs="Times New Roman"/>
          <w:color w:val="2F393E"/>
          <w:kern w:val="3"/>
          <w:sz w:val="24"/>
          <w:szCs w:val="32"/>
          <w:lang w:val="uk-UA"/>
        </w:rPr>
        <w:t xml:space="preserve">Законом України від 18.12.2018 № 2657-VII «Про внесення змін до деяких законодавчих актів України щодо протидії </w:t>
      </w:r>
      <w:proofErr w:type="spellStart"/>
      <w:r w:rsidRPr="005924BB">
        <w:rPr>
          <w:rFonts w:ascii="Roboto, sans-serif" w:eastAsia="Lucida Sans Unicode" w:hAnsi="Roboto, sans-serif" w:cs="Times New Roman"/>
          <w:color w:val="2F393E"/>
          <w:kern w:val="3"/>
          <w:sz w:val="24"/>
          <w:szCs w:val="32"/>
          <w:lang w:val="uk-UA"/>
        </w:rPr>
        <w:t>булінгу</w:t>
      </w:r>
      <w:proofErr w:type="spellEnd"/>
      <w:r w:rsidRPr="005924BB">
        <w:rPr>
          <w:rFonts w:ascii="Roboto, sans-serif" w:eastAsia="Lucida Sans Unicode" w:hAnsi="Roboto, sans-serif" w:cs="Times New Roman"/>
          <w:color w:val="2F393E"/>
          <w:kern w:val="3"/>
          <w:sz w:val="24"/>
          <w:szCs w:val="32"/>
          <w:lang w:val="uk-UA"/>
        </w:rPr>
        <w:t xml:space="preserve">(цькуванню)» (набув чинності19.01.2019) запроваджено адміністративну відповідальність за </w:t>
      </w:r>
      <w:proofErr w:type="spellStart"/>
      <w:r w:rsidRPr="005924BB">
        <w:rPr>
          <w:rFonts w:ascii="Roboto, sans-serif" w:eastAsia="Lucida Sans Unicode" w:hAnsi="Roboto, sans-serif" w:cs="Times New Roman"/>
          <w:color w:val="2F393E"/>
          <w:kern w:val="3"/>
          <w:sz w:val="24"/>
          <w:szCs w:val="32"/>
          <w:lang w:val="uk-UA"/>
        </w:rPr>
        <w:t>булінг</w:t>
      </w:r>
      <w:proofErr w:type="spellEnd"/>
      <w:r w:rsidRPr="005924BB">
        <w:rPr>
          <w:rFonts w:ascii="Roboto, sans-serif" w:eastAsia="Lucida Sans Unicode" w:hAnsi="Roboto, sans-serif" w:cs="Times New Roman"/>
          <w:color w:val="2F393E"/>
          <w:kern w:val="3"/>
          <w:sz w:val="24"/>
          <w:szCs w:val="32"/>
          <w:lang w:val="uk-UA"/>
        </w:rPr>
        <w:t>.</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t xml:space="preserve">Кодекс України про адміністративні правопорушення доповнено статтею 173-4, якою передбачено, що </w:t>
      </w:r>
      <w:proofErr w:type="spellStart"/>
      <w:r w:rsidRPr="005924BB">
        <w:rPr>
          <w:rFonts w:ascii="Roboto, sans-serif" w:eastAsia="Lucida Sans Unicode" w:hAnsi="Roboto, sans-serif" w:cs="Tahoma"/>
          <w:b/>
          <w:color w:val="2F393E"/>
          <w:kern w:val="3"/>
          <w:sz w:val="24"/>
          <w:lang w:val="uk-UA"/>
        </w:rPr>
        <w:t>булінг</w:t>
      </w:r>
      <w:proofErr w:type="spellEnd"/>
      <w:r w:rsidRPr="005924BB">
        <w:rPr>
          <w:rFonts w:ascii="Roboto, sans-serif" w:eastAsia="Lucida Sans Unicode" w:hAnsi="Roboto, sans-serif" w:cs="Tahoma"/>
          <w:b/>
          <w:color w:val="2F393E"/>
          <w:kern w:val="3"/>
          <w:sz w:val="24"/>
          <w:lang w:val="uk-UA"/>
        </w:rPr>
        <w:t xml:space="preserve"> (цькування), що вчиняється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sidRPr="005924BB">
        <w:rPr>
          <w:rFonts w:ascii="Roboto, sans-serif" w:eastAsia="Lucida Sans Unicode" w:hAnsi="Roboto, sans-serif" w:cs="Tahoma"/>
          <w:color w:val="2F393E"/>
          <w:kern w:val="3"/>
          <w:sz w:val="24"/>
          <w:lang w:val="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tab/>
        <w:t>Якщо цькування вчинене групою осіб або повторно протягом року після накладення адміністративного стягнення, то штраф становитиме від ста до двохсот неоподатковуваних мінімумів доходів громадян або громадські роботи на строк від сорока до шістдесяти годин.</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b/>
          <w:color w:val="2F393E"/>
          <w:kern w:val="3"/>
          <w:sz w:val="24"/>
          <w:lang w:val="uk-UA"/>
        </w:rPr>
        <w:tab/>
        <w:t xml:space="preserve">Відповідальність за діяння, передбачене цією статтею, вчинене малолітніми або неповнолітніми особами віком від чотирнадцяти до шістнадцяти років несуть батьки, або особи, які їх замінюють </w:t>
      </w:r>
      <w:r w:rsidRPr="005924BB">
        <w:rPr>
          <w:rFonts w:ascii="Roboto, sans-serif" w:eastAsia="Lucida Sans Unicode" w:hAnsi="Roboto, sans-serif" w:cs="Tahoma"/>
          <w:color w:val="2F393E"/>
          <w:kern w:val="3"/>
          <w:sz w:val="24"/>
          <w:lang w:val="uk-UA"/>
        </w:rPr>
        <w:t>(штраф від п’ятдесяти до ста неоподатковуваних мінімумів доходів громадян або громадські роботи на строк від двадцяти до сорока годин).</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tab/>
        <w:t>Справи про адміністративні правопорушення, передбачених статтею 173-4 КУпАП, підлягають розгляду суддями районних, районних у місті, міських чи міськрайонних судів за поданням органів Національної поліції.</w:t>
      </w:r>
    </w:p>
    <w:p w:rsidR="005924BB" w:rsidRPr="005924BB" w:rsidRDefault="005924BB" w:rsidP="005924BB">
      <w:pPr>
        <w:widowControl w:val="0"/>
        <w:suppressAutoHyphens/>
        <w:autoSpaceDN w:val="0"/>
        <w:spacing w:after="120" w:line="315" w:lineRule="atLeast"/>
        <w:jc w:val="both"/>
        <w:rPr>
          <w:rFonts w:ascii="Calibri" w:eastAsia="Lucida Sans Unicode" w:hAnsi="Calibri" w:cs="Tahoma"/>
          <w:kern w:val="3"/>
        </w:rPr>
      </w:pPr>
      <w:r w:rsidRPr="005924BB">
        <w:rPr>
          <w:rFonts w:ascii="Roboto, sans-serif" w:eastAsia="Lucida Sans Unicode" w:hAnsi="Roboto, sans-serif" w:cs="Tahoma"/>
          <w:color w:val="2F393E"/>
          <w:kern w:val="3"/>
          <w:sz w:val="24"/>
          <w:lang w:val="uk-UA"/>
        </w:rPr>
        <w:tab/>
        <w:t xml:space="preserve">Прикладом практичного застосування цієї норми є </w:t>
      </w:r>
      <w:hyperlink r:id="rId5" w:history="1">
        <w:r w:rsidRPr="005924BB">
          <w:rPr>
            <w:rFonts w:ascii="Roboto, sans-serif" w:eastAsia="Lucida Sans Unicode" w:hAnsi="Roboto, sans-serif" w:cs="Tahoma"/>
            <w:color w:val="330066"/>
            <w:kern w:val="3"/>
            <w:sz w:val="24"/>
            <w:u w:val="single"/>
            <w:lang w:val="uk-UA"/>
          </w:rPr>
          <w:t>рішення Бориспільського міськрайонного суду Київської області від 5 лютого 2019 року у справі № 359/933/19.</w:t>
        </w:r>
      </w:hyperlink>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b/>
          <w:color w:val="2F393E"/>
          <w:kern w:val="3"/>
          <w:sz w:val="24"/>
          <w:lang w:val="uk-UA"/>
        </w:rPr>
        <w:tab/>
        <w:t>Рішенням суду визнано винною мати неповнолітньої в скоєні правопорушення, передбаченого ч. 3 ст. 173-4 КУпАП України, та накладено стягнення у виді штрафу в розмірі 50 неоподатковуваних мінімумів доходів громадян, що становить 850 (вісімсот п’ятдесят) гривень</w:t>
      </w:r>
      <w:r w:rsidRPr="005924BB">
        <w:rPr>
          <w:rFonts w:ascii="Roboto, sans-serif" w:eastAsia="Lucida Sans Unicode" w:hAnsi="Roboto, sans-serif" w:cs="Tahoma"/>
          <w:color w:val="2F393E"/>
          <w:kern w:val="3"/>
          <w:sz w:val="24"/>
          <w:lang w:val="uk-UA"/>
        </w:rPr>
        <w:t>.</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tab/>
        <w:t xml:space="preserve">У судовому рішенні вказується, що неповнолітня, знаходячись в приміщенні школи вчинила </w:t>
      </w:r>
      <w:proofErr w:type="spellStart"/>
      <w:r w:rsidRPr="005924BB">
        <w:rPr>
          <w:rFonts w:ascii="Roboto, sans-serif" w:eastAsia="Lucida Sans Unicode" w:hAnsi="Roboto, sans-serif" w:cs="Tahoma"/>
          <w:color w:val="2F393E"/>
          <w:kern w:val="3"/>
          <w:sz w:val="24"/>
          <w:lang w:val="uk-UA"/>
        </w:rPr>
        <w:t>булінг</w:t>
      </w:r>
      <w:proofErr w:type="spellEnd"/>
      <w:r w:rsidRPr="005924BB">
        <w:rPr>
          <w:rFonts w:ascii="Roboto, sans-serif" w:eastAsia="Lucida Sans Unicode" w:hAnsi="Roboto, sans-serif" w:cs="Tahoma"/>
          <w:color w:val="2F393E"/>
          <w:kern w:val="3"/>
          <w:sz w:val="24"/>
          <w:lang w:val="uk-UA"/>
        </w:rPr>
        <w:t>, тобто дії психологічного та сексуального насильства із застосуванням засобів електронних комунікацій, щодо іншої неповнолітньої, що проявилось у висвітленні непристойних фото у мережі «</w:t>
      </w:r>
      <w:proofErr w:type="spellStart"/>
      <w:r w:rsidRPr="005924BB">
        <w:rPr>
          <w:rFonts w:ascii="Roboto, sans-serif" w:eastAsia="Lucida Sans Unicode" w:hAnsi="Roboto, sans-serif" w:cs="Tahoma"/>
          <w:color w:val="2F393E"/>
          <w:kern w:val="3"/>
          <w:sz w:val="24"/>
          <w:lang w:val="uk-UA"/>
        </w:rPr>
        <w:t>інстаграм</w:t>
      </w:r>
      <w:proofErr w:type="spellEnd"/>
      <w:r w:rsidRPr="005924BB">
        <w:rPr>
          <w:rFonts w:ascii="Roboto, sans-serif" w:eastAsia="Lucida Sans Unicode" w:hAnsi="Roboto, sans-serif" w:cs="Tahoma"/>
          <w:color w:val="2F393E"/>
          <w:kern w:val="3"/>
          <w:sz w:val="24"/>
          <w:lang w:val="uk-UA"/>
        </w:rPr>
        <w:t>», в результаті чого могла бути завдана шкода психічному здоров’ю потерпілої. Відповідальність за вказане діяння несе мати неповнолітньої за ознаками правопорушення, передбаченого ч. 3 ст.173-4 КУпАП.</w:t>
      </w:r>
    </w:p>
    <w:p w:rsidR="005924BB" w:rsidRPr="005924BB" w:rsidRDefault="005924BB" w:rsidP="005924BB">
      <w:pPr>
        <w:widowControl w:val="0"/>
        <w:suppressAutoHyphens/>
        <w:autoSpaceDN w:val="0"/>
        <w:spacing w:after="12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tab/>
        <w:t>Суддя, заслухавши особу яка притягується до відповідальності, покази неповнолітньої, ознайомившись з матеріалами справи, прийшов до висновку, що вина особи у вчиненні вищевказаного правопорушення підтверджується дослідженими в судовому засіданні письмовими доказами: даними, що містяться в протоколі про адміністративне правопорушення; письмовими поясненнями осіб; наданими фото тощо.</w:t>
      </w:r>
    </w:p>
    <w:p w:rsidR="005924BB" w:rsidRPr="005924BB" w:rsidRDefault="005924BB" w:rsidP="005924BB">
      <w:pPr>
        <w:widowControl w:val="0"/>
        <w:suppressAutoHyphens/>
        <w:autoSpaceDN w:val="0"/>
        <w:spacing w:after="0" w:line="315" w:lineRule="atLeast"/>
        <w:jc w:val="both"/>
        <w:rPr>
          <w:rFonts w:ascii="Roboto, sans-serif" w:eastAsia="Lucida Sans Unicode" w:hAnsi="Roboto, sans-serif" w:cs="Tahoma"/>
          <w:color w:val="2F393E"/>
          <w:kern w:val="3"/>
          <w:sz w:val="24"/>
          <w:lang w:val="uk-UA"/>
        </w:rPr>
      </w:pPr>
      <w:r w:rsidRPr="005924BB">
        <w:rPr>
          <w:rFonts w:ascii="Roboto, sans-serif" w:eastAsia="Lucida Sans Unicode" w:hAnsi="Roboto, sans-serif" w:cs="Tahoma"/>
          <w:color w:val="2F393E"/>
          <w:kern w:val="3"/>
          <w:sz w:val="24"/>
          <w:lang w:val="uk-UA"/>
        </w:rPr>
        <w:lastRenderedPageBreak/>
        <w:tab/>
        <w:t>При прийнятті рішення судом враховано щире каяття особи.</w:t>
      </w:r>
    </w:p>
    <w:p w:rsidR="005924BB" w:rsidRPr="005924BB" w:rsidRDefault="005924BB" w:rsidP="005924BB">
      <w:pPr>
        <w:widowControl w:val="0"/>
        <w:suppressAutoHyphens/>
        <w:autoSpaceDN w:val="0"/>
        <w:spacing w:after="0" w:line="315" w:lineRule="atLeast"/>
        <w:jc w:val="both"/>
        <w:rPr>
          <w:rFonts w:ascii="Roboto, sans-serif" w:eastAsia="Lucida Sans Unicode" w:hAnsi="Roboto, sans-serif" w:cs="Tahoma"/>
          <w:color w:val="2F393E"/>
          <w:kern w:val="3"/>
          <w:sz w:val="24"/>
          <w:lang w:val="uk-UA"/>
        </w:rPr>
      </w:pPr>
    </w:p>
    <w:p w:rsidR="005924BB" w:rsidRPr="005924BB" w:rsidRDefault="005924BB" w:rsidP="005924BB">
      <w:pPr>
        <w:widowControl w:val="0"/>
        <w:suppressAutoHyphens/>
        <w:autoSpaceDN w:val="0"/>
        <w:spacing w:after="0" w:line="315" w:lineRule="atLeast"/>
        <w:jc w:val="right"/>
        <w:rPr>
          <w:rFonts w:ascii="Calibri" w:eastAsia="Lucida Sans Unicode" w:hAnsi="Calibri" w:cs="Tahoma"/>
          <w:kern w:val="3"/>
        </w:rPr>
      </w:pPr>
      <w:hyperlink r:id="rId6" w:history="1">
        <w:r w:rsidRPr="005924BB">
          <w:rPr>
            <w:rFonts w:ascii="Roboto, sans-serif" w:eastAsia="Lucida Sans Unicode" w:hAnsi="Roboto, sans-serif" w:cs="Tahoma"/>
            <w:b/>
            <w:color w:val="2F393E"/>
            <w:kern w:val="3"/>
            <w:sz w:val="24"/>
            <w:u w:val="single"/>
            <w:lang w:val="uk-UA"/>
          </w:rPr>
          <w:t>Юридичний відділ ЦК Профспілки</w:t>
        </w:r>
      </w:hyperlink>
    </w:p>
    <w:p w:rsidR="0021171C" w:rsidRDefault="0021171C">
      <w:bookmarkStart w:id="0" w:name="_GoBack"/>
      <w:bookmarkEnd w:id="0"/>
    </w:p>
    <w:sectPr w:rsidR="00211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oboto, sans-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B"/>
    <w:rsid w:val="0021171C"/>
    <w:rsid w:val="0059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n.org.ua/novyny/6935-admnstrativna-vdpovdalnst-za-bulng-sudove-rshennya.html" TargetMode="External"/><Relationship Id="rId5" Type="http://schemas.openxmlformats.org/officeDocument/2006/relationships/hyperlink" Target="http://reyestr.court.gov.ua/Review/796415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2020-03-27T10:43:00Z</dcterms:created>
  <dcterms:modified xsi:type="dcterms:W3CDTF">2020-03-27T10:44:00Z</dcterms:modified>
</cp:coreProperties>
</file>