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історія</w:t>
      </w:r>
    </w:p>
    <w:p>
      <w:pPr>
        <w:rPr>
          <w:rFonts w:cs="Times New Roman"/>
          <w:i/>
          <w:sz w:val="32"/>
        </w:rPr>
      </w:pPr>
      <w:r>
        <w:rPr>
          <w:rFonts w:cs="Times New Roman"/>
          <w:i/>
          <w:sz w:val="32"/>
        </w:rPr>
        <w:t>§ 47-48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5 образотворче мистецтво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 xml:space="preserve">Виконання нескладної композиції за мотивами 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петриківського розпису</w:t>
      </w:r>
    </w:p>
    <w:p>
      <w:pPr>
        <w:rPr>
          <w:b/>
          <w:i w:val="off"/>
          <w:color w:val="ff0000"/>
          <w:sz w:val="32"/>
          <w:u w:val="single"/>
          <w:lang w:val="uk-UA"/>
        </w:rPr>
      </w:pPr>
      <w:r>
        <w:rPr>
          <w:b/>
          <w:i/>
          <w:color w:val="ff0000"/>
          <w:sz w:val="32"/>
          <w:lang w:val="uk-UA"/>
        </w:rPr>
        <w:t>8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27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