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історія</w:t>
      </w:r>
    </w:p>
    <w:p>
      <w:pPr>
        <w:rPr>
          <w:rFonts w:cs="Times New Roman"/>
          <w:i/>
          <w:sz w:val="32"/>
        </w:rPr>
      </w:pPr>
      <w:r>
        <w:rPr>
          <w:rFonts w:cs="Times New Roman"/>
          <w:i/>
          <w:sz w:val="32"/>
        </w:rPr>
        <w:t>§ 46 ст.204 (1-4)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5 образотворче мистецтво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 xml:space="preserve">Виконання нескладної композиції за мотивами 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петриківського розпису</w:t>
      </w:r>
    </w:p>
    <w:p>
      <w:pPr>
        <w:rPr>
          <w:b/>
          <w:i w:val="off"/>
          <w:color w:val="ff0000"/>
          <w:sz w:val="32"/>
          <w:u w:val="single"/>
          <w:lang w:val="uk-UA"/>
        </w:rPr>
      </w:pPr>
      <w:r>
        <w:rPr>
          <w:b/>
          <w:i/>
          <w:color w:val="ff0000"/>
          <w:sz w:val="32"/>
          <w:lang w:val="uk-UA"/>
        </w:rPr>
        <w:t>8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27 Практичне заняття 4 ст.214-217)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