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27" w:rsidRPr="009C7FAA" w:rsidRDefault="00A35F27" w:rsidP="00A35F27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32"/>
          <w:szCs w:val="32"/>
          <w:lang w:eastAsia="uk-UA"/>
        </w:rPr>
      </w:pPr>
      <w:r w:rsidRPr="009C7FAA">
        <w:rPr>
          <w:rFonts w:eastAsia="Times New Roman" w:cs="Helvetica"/>
          <w:b/>
          <w:color w:val="333333"/>
          <w:sz w:val="32"/>
          <w:szCs w:val="32"/>
          <w:lang w:eastAsia="uk-UA"/>
        </w:rPr>
        <w:t>Ясеницький заклад загальної середньої освіти І-ІІІ ступенів Турківської міської ради Самбірського району</w:t>
      </w:r>
      <w:r w:rsidR="009835F7" w:rsidRPr="009C7FAA">
        <w:rPr>
          <w:rFonts w:eastAsia="Times New Roman" w:cs="Helvetica"/>
          <w:b/>
          <w:color w:val="333333"/>
          <w:sz w:val="32"/>
          <w:szCs w:val="32"/>
          <w:lang w:eastAsia="uk-UA"/>
        </w:rPr>
        <w:t xml:space="preserve"> </w:t>
      </w:r>
    </w:p>
    <w:p w:rsidR="00A35F27" w:rsidRPr="009C7FAA" w:rsidRDefault="00A35F27" w:rsidP="00125982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125982" w:rsidRPr="009C7FAA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1"/>
          <w:szCs w:val="21"/>
          <w:lang w:eastAsia="uk-UA"/>
        </w:rPr>
      </w:pPr>
      <w:r w:rsidRPr="009C7FAA">
        <w:rPr>
          <w:rFonts w:eastAsia="Times New Roman" w:cs="Helvetica"/>
          <w:b/>
          <w:color w:val="333333"/>
          <w:sz w:val="21"/>
          <w:szCs w:val="21"/>
          <w:lang w:eastAsia="uk-UA"/>
        </w:rPr>
        <w:t> </w:t>
      </w:r>
    </w:p>
    <w:p w:rsidR="00125982" w:rsidRPr="009C7FAA" w:rsidRDefault="00125982" w:rsidP="00125982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 w:rsidRPr="009C7FAA">
        <w:rPr>
          <w:rFonts w:eastAsia="Times New Roman" w:cs="Helvetica"/>
          <w:b/>
          <w:bCs/>
          <w:color w:val="333333"/>
          <w:sz w:val="28"/>
          <w:szCs w:val="28"/>
          <w:lang w:eastAsia="uk-UA"/>
        </w:rPr>
        <w:t>НАКАЗ</w:t>
      </w:r>
    </w:p>
    <w:p w:rsidR="00125982" w:rsidRPr="009835F7" w:rsidRDefault="00DA5510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>
        <w:rPr>
          <w:rFonts w:eastAsia="Times New Roman" w:cs="Helvetica"/>
          <w:b/>
          <w:color w:val="333333"/>
          <w:sz w:val="24"/>
          <w:szCs w:val="24"/>
          <w:lang w:eastAsia="uk-UA"/>
        </w:rPr>
        <w:t>02.09</w:t>
      </w:r>
      <w:r w:rsidR="00A35F27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. 202</w:t>
      </w:r>
      <w:r w:rsidR="009835F7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4</w:t>
      </w:r>
      <w:r w:rsidR="00A35F27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 xml:space="preserve"> р.</w:t>
      </w:r>
      <w:r w:rsidR="00125982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                                                                              </w:t>
      </w:r>
      <w:r>
        <w:rPr>
          <w:rFonts w:eastAsia="Times New Roman" w:cs="Helvetica"/>
          <w:b/>
          <w:color w:val="333333"/>
          <w:sz w:val="24"/>
          <w:szCs w:val="24"/>
          <w:lang w:eastAsia="uk-UA"/>
        </w:rPr>
        <w:t>                              №33</w:t>
      </w:r>
    </w:p>
    <w:p w:rsidR="00125982" w:rsidRPr="009C7FAA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>Про створення робочої і моніторингової груп</w:t>
      </w:r>
      <w:r w:rsidR="009835F7"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>и</w:t>
      </w:r>
    </w:p>
    <w:p w:rsidR="00125982" w:rsidRPr="009C7FAA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 xml:space="preserve">та проведення комплексного </w:t>
      </w:r>
      <w:r w:rsidR="00A26C79"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 xml:space="preserve"> </w:t>
      </w:r>
      <w:r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>самооцінювання</w:t>
      </w:r>
    </w:p>
    <w:p w:rsidR="00125982" w:rsidRPr="009C7FAA" w:rsidRDefault="00A35F27" w:rsidP="00125982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 xml:space="preserve">закладу  </w:t>
      </w:r>
      <w:r w:rsidR="00125982"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 xml:space="preserve">за </w:t>
      </w:r>
      <w:r w:rsidR="009835F7" w:rsidRPr="009C7FAA">
        <w:rPr>
          <w:rFonts w:eastAsia="Times New Roman" w:cs="Helvetica"/>
          <w:b/>
          <w:color w:val="333333"/>
          <w:sz w:val="28"/>
          <w:szCs w:val="28"/>
          <w:lang w:eastAsia="uk-UA"/>
        </w:rPr>
        <w:t>третім напрямом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        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154/34437 зі змінами, 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Методики оцінювання освітніх і управлін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ських процесів ЗЗСО, наказу МОН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«Про затвердження методичних рекомендацій з питань формування внутрішньої системи забезпечення якості освіти у ЗЗСО»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від 30.11.2020 №1480, Положення про внутрішню систему забезпечення якості освіти в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 Ясеницькому  ЗЗСО І-ІІІ ступенів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,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з метою розбудови внутрішньої системи забезпечення якості освітньої діяльності та якості освіти у школі, постійного підвищення якості освітньої діяльності, використання системного підходу до здійснення моніторингу на всіх етапах освітнього процесу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8"/>
          <w:szCs w:val="28"/>
          <w:lang w:eastAsia="uk-UA"/>
        </w:rPr>
      </w:pPr>
      <w:r w:rsidRPr="009835F7">
        <w:rPr>
          <w:rFonts w:eastAsia="Times New Roman" w:cs="Helvetica"/>
          <w:b/>
          <w:bCs/>
          <w:color w:val="333333"/>
          <w:sz w:val="28"/>
          <w:szCs w:val="28"/>
          <w:lang w:eastAsia="uk-UA"/>
        </w:rPr>
        <w:t>НАКАЗУЮ:</w:t>
      </w:r>
    </w:p>
    <w:p w:rsidR="009835F7" w:rsidRPr="009835F7" w:rsidRDefault="009835F7" w:rsidP="009C7FAA">
      <w:pPr>
        <w:shd w:val="clear" w:color="auto" w:fill="FFFFFF"/>
        <w:spacing w:after="150" w:line="240" w:lineRule="auto"/>
        <w:rPr>
          <w:rFonts w:eastAsia="Times New Roman" w:cs="Helvetica"/>
          <w:b/>
          <w:i/>
          <w:color w:val="333333"/>
          <w:sz w:val="24"/>
          <w:szCs w:val="24"/>
          <w:lang w:eastAsia="uk-UA"/>
        </w:rPr>
      </w:pPr>
      <w:r>
        <w:rPr>
          <w:rFonts w:eastAsia="Times New Roman" w:cs="Helvetica"/>
          <w:color w:val="333333"/>
          <w:sz w:val="24"/>
          <w:szCs w:val="24"/>
          <w:lang w:eastAsia="uk-UA"/>
        </w:rPr>
        <w:t>1.</w:t>
      </w:r>
      <w:r w:rsidR="00A35F2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Провести у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2024-2025 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>н.р. комплексне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вивчення й </w:t>
      </w:r>
      <w:r w:rsidR="003512C7" w:rsidRPr="009835F7">
        <w:rPr>
          <w:rFonts w:eastAsia="Times New Roman" w:cs="Helvetica"/>
          <w:color w:val="333333"/>
          <w:sz w:val="24"/>
          <w:szCs w:val="24"/>
          <w:lang w:eastAsia="uk-UA"/>
        </w:rPr>
        <w:t>само</w:t>
      </w:r>
      <w:r w:rsidR="001B535D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оцінювання 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якості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освітньої діяльності за напрямом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>:</w:t>
      </w:r>
    </w:p>
    <w:p w:rsidR="00125982" w:rsidRPr="009835F7" w:rsidRDefault="009835F7" w:rsidP="009835F7">
      <w:pPr>
        <w:pStyle w:val="aa"/>
        <w:shd w:val="clear" w:color="auto" w:fill="FFFFFF"/>
        <w:spacing w:after="150" w:line="240" w:lineRule="auto"/>
        <w:rPr>
          <w:rFonts w:eastAsia="Times New Roman" w:cs="Helvetica"/>
          <w:b/>
          <w:i/>
          <w:color w:val="333333"/>
          <w:sz w:val="28"/>
          <w:szCs w:val="28"/>
          <w:lang w:eastAsia="uk-UA"/>
        </w:rPr>
      </w:pPr>
      <w:r w:rsidRPr="009835F7">
        <w:rPr>
          <w:rFonts w:eastAsia="Times New Roman" w:cs="Helvetica"/>
          <w:b/>
          <w:i/>
          <w:color w:val="333333"/>
          <w:sz w:val="28"/>
          <w:szCs w:val="28"/>
          <w:lang w:eastAsia="uk-UA"/>
        </w:rPr>
        <w:t xml:space="preserve"> Педагогічна діяльність педагогічних працівників закладу освіти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2. Призначити заступника директора з навчально-виховної роботи </w:t>
      </w:r>
      <w:r w:rsidR="002C007C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Торищак Марію </w:t>
      </w:r>
      <w:r w:rsidR="00A35F27" w:rsidRPr="009835F7">
        <w:rPr>
          <w:rFonts w:eastAsia="Times New Roman" w:cs="Helvetica"/>
          <w:color w:val="333333"/>
          <w:sz w:val="24"/>
          <w:szCs w:val="24"/>
          <w:lang w:eastAsia="uk-UA"/>
        </w:rPr>
        <w:t>Івані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вну відповідальною особою із забезпечення якості, забезпечення оперативного керування процесом вивчення.</w:t>
      </w:r>
    </w:p>
    <w:p w:rsidR="00125982" w:rsidRPr="009835F7" w:rsidRDefault="009835F7" w:rsidP="00125982">
      <w:pPr>
        <w:shd w:val="clear" w:color="auto" w:fill="FFFFFF"/>
        <w:spacing w:after="150" w:line="240" w:lineRule="auto"/>
        <w:rPr>
          <w:rFonts w:eastAsia="Times New Roman" w:cs="Helvetica"/>
          <w:b/>
          <w:i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3.   Затвердити склад робочої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груп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и за треті</w:t>
      </w:r>
      <w:r w:rsidR="00125982" w:rsidRPr="009835F7">
        <w:rPr>
          <w:rFonts w:eastAsia="Times New Roman" w:cs="Helvetica"/>
          <w:color w:val="333333"/>
          <w:sz w:val="24"/>
          <w:szCs w:val="24"/>
          <w:lang w:eastAsia="uk-UA"/>
        </w:rPr>
        <w:t>м напрямом</w:t>
      </w:r>
      <w:r w:rsidR="00125982" w:rsidRPr="009835F7">
        <w:rPr>
          <w:rFonts w:eastAsia="Times New Roman" w:cs="Helvetica"/>
          <w:b/>
          <w:i/>
          <w:color w:val="333333"/>
          <w:sz w:val="24"/>
          <w:szCs w:val="24"/>
          <w:lang w:eastAsia="uk-UA"/>
        </w:rPr>
        <w:t>. (Додаток 1).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4. Затвердити</w:t>
      </w:r>
      <w:r w:rsidR="009835F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орієнтовний План роботи робочої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груп</w:t>
      </w:r>
      <w:r w:rsidR="009835F7" w:rsidRPr="009835F7">
        <w:rPr>
          <w:rFonts w:eastAsia="Times New Roman" w:cs="Helvetica"/>
          <w:color w:val="333333"/>
          <w:sz w:val="24"/>
          <w:szCs w:val="24"/>
          <w:lang w:eastAsia="uk-UA"/>
        </w:rPr>
        <w:t>и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з проведення</w:t>
      </w:r>
      <w:r w:rsidR="001B535D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самооцінювання. </w:t>
      </w:r>
      <w:r w:rsidRPr="009835F7">
        <w:rPr>
          <w:rFonts w:eastAsia="Times New Roman" w:cs="Helvetica"/>
          <w:b/>
          <w:i/>
          <w:color w:val="333333"/>
          <w:sz w:val="24"/>
          <w:szCs w:val="24"/>
          <w:lang w:eastAsia="uk-UA"/>
        </w:rPr>
        <w:t>(Додаток 2).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5. Відповідальній особ</w:t>
      </w:r>
      <w:r w:rsidR="007E3E5F" w:rsidRPr="009835F7">
        <w:rPr>
          <w:rFonts w:eastAsia="Times New Roman" w:cs="Helvetica"/>
          <w:color w:val="333333"/>
          <w:sz w:val="24"/>
          <w:szCs w:val="24"/>
          <w:lang w:eastAsia="uk-UA"/>
        </w:rPr>
        <w:t>і</w:t>
      </w:r>
      <w:r w:rsidR="001B535D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Торищак Марії Івані</w:t>
      </w:r>
      <w:r w:rsidR="002C007C" w:rsidRPr="009835F7">
        <w:rPr>
          <w:rFonts w:eastAsia="Times New Roman" w:cs="Helvetica"/>
          <w:color w:val="333333"/>
          <w:sz w:val="24"/>
          <w:szCs w:val="24"/>
          <w:lang w:eastAsia="uk-UA"/>
        </w:rPr>
        <w:t>вн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і: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5.1. координувати результативне запровадження внутрішньої системи забезпечення якості;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5.2. систематично прово</w:t>
      </w:r>
      <w:r w:rsidR="009835F7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дити навчання з членами робочої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груп</w:t>
      </w:r>
      <w:r w:rsidR="009835F7" w:rsidRPr="009835F7">
        <w:rPr>
          <w:rFonts w:eastAsia="Times New Roman" w:cs="Helvetica"/>
          <w:color w:val="333333"/>
          <w:sz w:val="24"/>
          <w:szCs w:val="24"/>
          <w:lang w:eastAsia="uk-UA"/>
        </w:rPr>
        <w:t>и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щодо визначення і аналізу відповідного компоненту системи забезпечення якості;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5.3. узагальнити результати </w:t>
      </w:r>
      <w:r w:rsidR="001B535D"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само оцінювання 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 та визначити рівень освітньої діяльності закладу освіти;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5.4. підготувати висновки і визначити шляхи вдосконалення освітньої діяльності.</w:t>
      </w:r>
    </w:p>
    <w:p w:rsidR="00125982" w:rsidRPr="009835F7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ascii="Helvetica" w:eastAsia="Times New Roman" w:hAnsi="Helvetica" w:cs="Helvetica"/>
          <w:color w:val="333333"/>
          <w:sz w:val="24"/>
          <w:szCs w:val="24"/>
          <w:lang w:eastAsia="uk-UA"/>
        </w:rPr>
        <w:t>6</w:t>
      </w: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>. Членам робочої групи:</w:t>
      </w:r>
    </w:p>
    <w:p w:rsidR="00125982" w:rsidRPr="00253C09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lastRenderedPageBreak/>
        <w:t>6.1. використовувати такі методи збору інформації як вивчення документації, спостереження за навчальним заняттям, опитування та анкетування всіх учасників освітнього процесу;</w:t>
      </w:r>
    </w:p>
    <w:p w:rsidR="00125982" w:rsidRPr="00253C09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9835F7">
        <w:rPr>
          <w:rFonts w:eastAsia="Times New Roman" w:cs="Helvetica"/>
          <w:color w:val="333333"/>
          <w:sz w:val="24"/>
          <w:szCs w:val="24"/>
          <w:lang w:eastAsia="uk-UA"/>
        </w:rPr>
        <w:t xml:space="preserve">6.2. 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підготувати перелік запитань для проведення анкетування серед педагогічних працівників, батьків та учнів, яким </w:t>
      </w:r>
      <w:r w:rsidR="009835F7" w:rsidRPr="00253C09">
        <w:rPr>
          <w:rFonts w:eastAsia="Times New Roman" w:cs="Helvetica"/>
          <w:color w:val="333333"/>
          <w:sz w:val="24"/>
          <w:szCs w:val="24"/>
          <w:lang w:eastAsia="uk-UA"/>
        </w:rPr>
        <w:t>виповнилося 14 років, за напрямом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відповідно до критеріїв оцінювання освітніх та управлінських процесів закладу та внутрішньої системи забезпечення якості освіти </w:t>
      </w:r>
      <w:r w:rsidRPr="00253C09">
        <w:rPr>
          <w:rFonts w:eastAsia="Times New Roman" w:cs="Helvetica"/>
          <w:b/>
          <w:i/>
          <w:color w:val="333333"/>
          <w:sz w:val="24"/>
          <w:szCs w:val="24"/>
          <w:lang w:eastAsia="uk-UA"/>
        </w:rPr>
        <w:t>(Додаток 3);</w:t>
      </w:r>
    </w:p>
    <w:p w:rsidR="00125982" w:rsidRPr="00253C09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>6.3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>. підготувати звіт до 1</w:t>
      </w:r>
      <w:r w:rsidR="009C35A7" w:rsidRPr="00253C09">
        <w:rPr>
          <w:rFonts w:eastAsia="Times New Roman" w:cs="Helvetica"/>
          <w:color w:val="333333"/>
          <w:sz w:val="24"/>
          <w:szCs w:val="24"/>
          <w:lang w:eastAsia="uk-UA"/>
        </w:rPr>
        <w:t>0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>.06.</w:t>
      </w:r>
      <w:r w:rsidR="00253C09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2025 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>року за результатами самооцінювання з пропозиціями про удосконалення освітньої діяльності.</w:t>
      </w:r>
    </w:p>
    <w:p w:rsidR="00125982" w:rsidRPr="00253C09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>7. Заслухати звіт про результати самооцінювання на засіданні педагог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ічної ради у червні </w:t>
      </w:r>
      <w:r w:rsidR="00253C09" w:rsidRPr="00253C09">
        <w:rPr>
          <w:rFonts w:eastAsia="Times New Roman" w:cs="Helvetica"/>
          <w:color w:val="333333"/>
          <w:sz w:val="24"/>
          <w:szCs w:val="24"/>
          <w:lang w:eastAsia="uk-UA"/>
        </w:rPr>
        <w:t>2025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року та врахувати її рішення при коригуванні  освітньої програми та рі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>чного плану роботи школи на</w:t>
      </w:r>
      <w:r w:rsidR="00894277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202</w:t>
      </w:r>
      <w:r w:rsidR="00253C09" w:rsidRPr="00253C09">
        <w:rPr>
          <w:rFonts w:eastAsia="Times New Roman" w:cs="Helvetica"/>
          <w:color w:val="333333"/>
          <w:sz w:val="24"/>
          <w:szCs w:val="24"/>
          <w:lang w:eastAsia="uk-UA"/>
        </w:rPr>
        <w:t>5</w:t>
      </w:r>
      <w:r w:rsidR="002C007C" w:rsidRPr="00253C09">
        <w:rPr>
          <w:rFonts w:eastAsia="Times New Roman" w:cs="Helvetica"/>
          <w:color w:val="333333"/>
          <w:sz w:val="24"/>
          <w:szCs w:val="24"/>
          <w:lang w:eastAsia="uk-UA"/>
        </w:rPr>
        <w:t>-202</w:t>
      </w:r>
      <w:r w:rsidR="00253C09" w:rsidRPr="00253C09">
        <w:rPr>
          <w:rFonts w:eastAsia="Times New Roman" w:cs="Helvetica"/>
          <w:color w:val="333333"/>
          <w:sz w:val="24"/>
          <w:szCs w:val="24"/>
          <w:lang w:eastAsia="uk-UA"/>
        </w:rPr>
        <w:t>6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навчальний рік.</w:t>
      </w:r>
    </w:p>
    <w:p w:rsidR="00125982" w:rsidRPr="00253C09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8. Оприлюднити звіт про результати </w:t>
      </w:r>
      <w:r w:rsidR="001B535D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самооцінювання </w:t>
      </w: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 та спостереження на сайті школи.</w:t>
      </w:r>
    </w:p>
    <w:p w:rsidR="00583DAD" w:rsidRPr="00253C09" w:rsidRDefault="00125982" w:rsidP="00583D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Helvetica"/>
          <w:color w:val="333333"/>
          <w:sz w:val="24"/>
          <w:szCs w:val="24"/>
          <w:lang w:eastAsia="uk-UA"/>
        </w:rPr>
      </w:pPr>
      <w:r w:rsidRPr="00253C09">
        <w:rPr>
          <w:rFonts w:eastAsia="Times New Roman" w:cs="Helvetica"/>
          <w:color w:val="333333"/>
          <w:sz w:val="24"/>
          <w:szCs w:val="24"/>
          <w:lang w:eastAsia="uk-UA"/>
        </w:rPr>
        <w:t>Контроль за виконанням н</w:t>
      </w:r>
      <w:r w:rsidR="00583DAD" w:rsidRPr="00253C09">
        <w:rPr>
          <w:rFonts w:eastAsia="Times New Roman" w:cs="Helvetica"/>
          <w:color w:val="333333"/>
          <w:sz w:val="24"/>
          <w:szCs w:val="24"/>
          <w:lang w:eastAsia="uk-UA"/>
        </w:rPr>
        <w:t xml:space="preserve">аказу </w:t>
      </w:r>
      <w:r w:rsidR="00894277" w:rsidRPr="00253C09">
        <w:rPr>
          <w:rFonts w:eastAsia="Times New Roman" w:cs="Helvetica"/>
          <w:color w:val="333333"/>
          <w:sz w:val="24"/>
          <w:szCs w:val="24"/>
          <w:lang w:eastAsia="uk-UA"/>
        </w:rPr>
        <w:t>залиш</w:t>
      </w:r>
      <w:r w:rsidR="00583DAD" w:rsidRPr="00253C09">
        <w:rPr>
          <w:rFonts w:eastAsia="Times New Roman" w:cs="Helvetica"/>
          <w:color w:val="333333"/>
          <w:sz w:val="24"/>
          <w:szCs w:val="24"/>
          <w:lang w:eastAsia="uk-UA"/>
        </w:rPr>
        <w:t>аю за собою</w:t>
      </w:r>
    </w:p>
    <w:p w:rsidR="00125982" w:rsidRPr="009C7FAA" w:rsidRDefault="00583DAD" w:rsidP="00583DAD">
      <w:p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r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Директор  ЗЗСО</w:t>
      </w:r>
      <w:r w:rsidR="00125982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       </w:t>
      </w:r>
      <w:r w:rsidR="00253C09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 xml:space="preserve">                              Михайло  </w:t>
      </w:r>
      <w:r w:rsidR="002C007C" w:rsidRPr="009C7FAA">
        <w:rPr>
          <w:rFonts w:eastAsia="Times New Roman" w:cs="Helvetica"/>
          <w:b/>
          <w:color w:val="333333"/>
          <w:sz w:val="24"/>
          <w:szCs w:val="24"/>
          <w:lang w:eastAsia="uk-UA"/>
        </w:rPr>
        <w:t>Мись</w:t>
      </w:r>
    </w:p>
    <w:p w:rsidR="00DA5510" w:rsidRDefault="00125982" w:rsidP="00125982">
      <w:pPr>
        <w:shd w:val="clear" w:color="auto" w:fill="FFFFFF"/>
        <w:spacing w:after="150" w:line="240" w:lineRule="auto"/>
        <w:ind w:left="201"/>
        <w:rPr>
          <w:rFonts w:eastAsia="Times New Roman" w:cs="Helvetica"/>
          <w:color w:val="333333"/>
          <w:sz w:val="21"/>
          <w:szCs w:val="21"/>
          <w:lang w:eastAsia="uk-UA"/>
        </w:rPr>
      </w:pPr>
      <w:r w:rsidRPr="009D3DF8">
        <w:rPr>
          <w:rFonts w:eastAsia="Times New Roman" w:cs="Helvetica"/>
          <w:color w:val="333333"/>
          <w:sz w:val="21"/>
          <w:szCs w:val="21"/>
          <w:lang w:eastAsia="uk-UA"/>
        </w:rPr>
        <w:t>З наказом ознайомлені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02.09.2024р.</w:t>
      </w:r>
      <w:r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: </w:t>
      </w:r>
      <w:r w:rsidR="007E3E5F">
        <w:rPr>
          <w:rFonts w:eastAsia="Times New Roman" w:cs="Helvetica"/>
          <w:color w:val="333333"/>
          <w:sz w:val="21"/>
          <w:szCs w:val="21"/>
          <w:lang w:eastAsia="uk-UA"/>
        </w:rPr>
        <w:t xml:space="preserve">     </w:t>
      </w:r>
    </w:p>
    <w:p w:rsidR="00125982" w:rsidRPr="009D3DF8" w:rsidRDefault="00DA5510" w:rsidP="00125982">
      <w:pPr>
        <w:shd w:val="clear" w:color="auto" w:fill="FFFFFF"/>
        <w:spacing w:after="150" w:line="240" w:lineRule="auto"/>
        <w:ind w:left="201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                                      </w:t>
      </w:r>
      <w:r w:rsidR="007E3E5F">
        <w:rPr>
          <w:rFonts w:eastAsia="Times New Roman" w:cs="Helvetica"/>
          <w:color w:val="333333"/>
          <w:sz w:val="21"/>
          <w:szCs w:val="21"/>
          <w:lang w:eastAsia="uk-UA"/>
        </w:rPr>
        <w:t xml:space="preserve">Торищак М.І.                          </w:t>
      </w:r>
      <w:r w:rsidR="001B535D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</w:t>
      </w:r>
      <w:r w:rsidR="007E3E5F">
        <w:rPr>
          <w:rFonts w:eastAsia="Times New Roman" w:cs="Helvetica"/>
          <w:color w:val="333333"/>
          <w:sz w:val="21"/>
          <w:szCs w:val="21"/>
          <w:lang w:eastAsia="uk-UA"/>
        </w:rPr>
        <w:t xml:space="preserve">  </w:t>
      </w:r>
    </w:p>
    <w:p w:rsidR="00125982" w:rsidRPr="009D3DF8" w:rsidRDefault="007E3E5F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>Торищак І.Д.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</w:t>
      </w: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  <w:r w:rsidR="00125982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</w:t>
      </w:r>
      <w:r w:rsidR="00253C09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  <w:r w:rsidR="00A26C79"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</w:p>
    <w:p w:rsidR="00125982" w:rsidRPr="009D3DF8" w:rsidRDefault="00125982" w:rsidP="00125982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uk-UA"/>
        </w:rPr>
      </w:pPr>
      <w:r w:rsidRPr="009D3DF8">
        <w:rPr>
          <w:rFonts w:eastAsia="Times New Roman" w:cs="Helvetica"/>
          <w:color w:val="333333"/>
          <w:sz w:val="21"/>
          <w:szCs w:val="21"/>
          <w:lang w:eastAsia="uk-UA"/>
        </w:rPr>
        <w:t>                                             </w:t>
      </w:r>
      <w:r w:rsidR="007E3E5F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</w:t>
      </w:r>
      <w:r w:rsidR="00620A40">
        <w:rPr>
          <w:rFonts w:eastAsia="Times New Roman" w:cs="Helvetica"/>
          <w:color w:val="333333"/>
          <w:sz w:val="21"/>
          <w:szCs w:val="21"/>
          <w:lang w:eastAsia="uk-UA"/>
        </w:rPr>
        <w:t>Клонцак  М</w:t>
      </w:r>
      <w:r w:rsidR="00253C09">
        <w:rPr>
          <w:rFonts w:eastAsia="Times New Roman" w:cs="Helvetica"/>
          <w:color w:val="333333"/>
          <w:sz w:val="21"/>
          <w:szCs w:val="21"/>
          <w:lang w:eastAsia="uk-UA"/>
        </w:rPr>
        <w:t xml:space="preserve">.В.         </w:t>
      </w:r>
      <w:r w:rsidR="00620A40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       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  </w:t>
      </w:r>
    </w:p>
    <w:p w:rsidR="00125982" w:rsidRPr="009D3DF8" w:rsidRDefault="007E3E5F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Вовк Н.І.                        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</w:t>
      </w:r>
    </w:p>
    <w:p w:rsidR="00125982" w:rsidRPr="009D3DF8" w:rsidRDefault="007E3E5F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Пецкович В.І.                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</w:t>
      </w:r>
      <w:r w:rsidR="001B535D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</w:p>
    <w:p w:rsidR="00125982" w:rsidRPr="009D3DF8" w:rsidRDefault="007E3E5F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lang w:eastAsia="uk-UA"/>
        </w:rPr>
        <w:t>Дем</w:t>
      </w:r>
      <w:r>
        <w:rPr>
          <w:rFonts w:ascii="Times New Roman" w:eastAsia="Times New Roman" w:hAnsi="Times New Roman" w:cs="Times New Roman"/>
          <w:color w:val="333333"/>
          <w:lang w:eastAsia="uk-UA"/>
        </w:rPr>
        <w:t>’</w:t>
      </w:r>
      <w:r>
        <w:rPr>
          <w:rFonts w:eastAsia="Times New Roman" w:cs="Helvetica"/>
          <w:color w:val="333333"/>
          <w:lang w:eastAsia="uk-UA"/>
        </w:rPr>
        <w:t>яновська О.І.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 </w:t>
      </w: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  <w:r w:rsidR="002C007C" w:rsidRPr="009D3DF8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  <w:r w:rsidR="001B535D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 </w:t>
      </w:r>
    </w:p>
    <w:p w:rsidR="00125982" w:rsidRPr="009D3DF8" w:rsidRDefault="00C52AE0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Мись І.І.                                             </w:t>
      </w:r>
    </w:p>
    <w:p w:rsidR="00125982" w:rsidRPr="009D3DF8" w:rsidRDefault="007E3E5F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Пецкович О.В.                 </w:t>
      </w:r>
      <w:r w:rsidR="00125982" w:rsidRPr="009D3DF8">
        <w:rPr>
          <w:rFonts w:eastAsia="Times New Roman" w:cs="Helvetica"/>
          <w:color w:val="333333"/>
          <w:sz w:val="21"/>
          <w:szCs w:val="21"/>
          <w:lang w:eastAsia="uk-UA"/>
        </w:rPr>
        <w:t>          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     </w:t>
      </w:r>
    </w:p>
    <w:p w:rsidR="00125982" w:rsidRPr="009D3DF8" w:rsidRDefault="00253C09" w:rsidP="00125982">
      <w:pPr>
        <w:shd w:val="clear" w:color="auto" w:fill="FFFFFF"/>
        <w:spacing w:after="150" w:line="240" w:lineRule="auto"/>
        <w:ind w:left="2610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Вовк В.Я.            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                   </w:t>
      </w:r>
    </w:p>
    <w:p w:rsidR="00125982" w:rsidRPr="009D3DF8" w:rsidRDefault="001B535D" w:rsidP="001B535D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                                          </w:t>
      </w:r>
      <w:r w:rsidR="003D010A">
        <w:rPr>
          <w:rFonts w:eastAsia="Times New Roman" w:cs="Helvetica"/>
          <w:color w:val="333333"/>
          <w:sz w:val="21"/>
          <w:szCs w:val="21"/>
          <w:lang w:eastAsia="uk-UA"/>
        </w:rPr>
        <w:t xml:space="preserve">Пецкович Л.О.                                 </w:t>
      </w:r>
      <w:r w:rsidR="00253C09"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  <w:r w:rsidR="00DA5510">
        <w:rPr>
          <w:rFonts w:eastAsia="Times New Roman" w:cs="Helvetica"/>
          <w:color w:val="333333"/>
          <w:sz w:val="21"/>
          <w:szCs w:val="21"/>
          <w:lang w:eastAsia="uk-UA"/>
        </w:rPr>
        <w:t xml:space="preserve"> </w:t>
      </w:r>
    </w:p>
    <w:p w:rsidR="006F0F85" w:rsidRDefault="00253C09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                                      </w:t>
      </w: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9C7FAA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9C7FAA" w:rsidRDefault="009C7FAA" w:rsidP="009C7FAA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Default="006F0F85" w:rsidP="0036412E">
      <w:pPr>
        <w:shd w:val="clear" w:color="auto" w:fill="FFFFFF"/>
        <w:spacing w:after="150" w:line="240" w:lineRule="auto"/>
        <w:jc w:val="right"/>
        <w:rPr>
          <w:rFonts w:eastAsia="Times New Roman" w:cs="Helvetica"/>
          <w:color w:val="333333"/>
          <w:sz w:val="21"/>
          <w:szCs w:val="21"/>
          <w:lang w:eastAsia="uk-UA"/>
        </w:rPr>
      </w:pPr>
    </w:p>
    <w:p w:rsidR="006F0F85" w:rsidRPr="006F0F85" w:rsidRDefault="00253C09" w:rsidP="006F0F85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r>
        <w:rPr>
          <w:rFonts w:eastAsia="Times New Roman" w:cs="Helvetica"/>
          <w:color w:val="333333"/>
          <w:sz w:val="21"/>
          <w:szCs w:val="21"/>
          <w:lang w:eastAsia="uk-UA"/>
        </w:rPr>
        <w:t xml:space="preserve">       </w:t>
      </w:r>
      <w:r w:rsidR="006F0F85" w:rsidRPr="006F0F85">
        <w:rPr>
          <w:rFonts w:eastAsia="Times New Roman" w:cs="Helvetica"/>
          <w:b/>
          <w:color w:val="333333"/>
          <w:sz w:val="24"/>
          <w:szCs w:val="24"/>
          <w:lang w:eastAsia="uk-UA"/>
        </w:rPr>
        <w:t>Додаток  1</w:t>
      </w:r>
    </w:p>
    <w:p w:rsidR="006F0F85" w:rsidRPr="006F0F85" w:rsidRDefault="006F0F85" w:rsidP="0036412E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333333"/>
          <w:sz w:val="24"/>
          <w:szCs w:val="24"/>
          <w:lang w:eastAsia="uk-UA"/>
        </w:rPr>
      </w:pPr>
    </w:p>
    <w:p w:rsidR="0036412E" w:rsidRPr="006F0F85" w:rsidRDefault="0036412E" w:rsidP="0036412E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b/>
          <w:bCs/>
          <w:color w:val="333333"/>
          <w:sz w:val="24"/>
          <w:szCs w:val="24"/>
          <w:lang w:eastAsia="uk-UA"/>
        </w:rPr>
        <w:t>СКЛАД РОБОЧОЇ ГРУПИ</w:t>
      </w:r>
    </w:p>
    <w:p w:rsidR="0036412E" w:rsidRPr="006F0F85" w:rsidRDefault="0036412E" w:rsidP="0036412E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 w:rsidRPr="006F0F85">
        <w:rPr>
          <w:rFonts w:eastAsia="Times New Roman" w:cs="Helvetica"/>
          <w:b/>
          <w:color w:val="333333"/>
          <w:sz w:val="28"/>
          <w:szCs w:val="28"/>
          <w:lang w:eastAsia="uk-UA"/>
        </w:rPr>
        <w:t>з вивчення та самооцінювання  педагогічної  діяльності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>1.  Мись М.Д., директор ЗЗСО, голова робочої групи;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 xml:space="preserve">2.  Торищак М.І.,  заступник директора з навчально-виховної роботи; 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>3.  Торищак І.Д.,  заступник директора з виховної роботи, голова методичного об’єднання  класних керівників;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>4.  Пецкович В.І.,  голова методичного об’єднання  вчителів природничо-математичного циклу    (математики, фізики, інформатики,   хімії, біології, географїі) , вчитель  математики;</w:t>
      </w:r>
    </w:p>
    <w:p w:rsidR="0036412E" w:rsidRPr="006F0F85" w:rsidRDefault="009C7FAA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>
        <w:rPr>
          <w:rFonts w:eastAsia="Times New Roman" w:cs="Helvetica"/>
          <w:color w:val="333333"/>
          <w:sz w:val="24"/>
          <w:szCs w:val="24"/>
          <w:lang w:eastAsia="uk-UA"/>
        </w:rPr>
        <w:t xml:space="preserve">5.  Вовк Н.І., </w:t>
      </w:r>
      <w:r w:rsidR="0036412E" w:rsidRPr="006F0F85">
        <w:rPr>
          <w:rFonts w:eastAsia="Times New Roman" w:cs="Helvetica"/>
          <w:color w:val="333333"/>
          <w:sz w:val="24"/>
          <w:szCs w:val="24"/>
          <w:lang w:eastAsia="uk-UA"/>
        </w:rPr>
        <w:t xml:space="preserve"> голова методичного об’єднання вчителів суспільно-гуманітарного циклу (української мови та літератури, зарубіжної літератури, іноземної мови, історії, основ правознавства), вчитель української мови та літератури;  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 xml:space="preserve"> 6.  Клонцак  М.В.,  голова методичного об</w:t>
      </w:r>
      <w:r w:rsidRPr="006F0F85">
        <w:rPr>
          <w:rFonts w:eastAsia="Times New Roman" w:cs="Times New Roman"/>
          <w:color w:val="333333"/>
          <w:sz w:val="24"/>
          <w:szCs w:val="24"/>
          <w:lang w:eastAsia="uk-UA"/>
        </w:rPr>
        <w:t>’</w:t>
      </w: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>єднання вчителів  початкових класів, вчитель початкових класів;</w:t>
      </w:r>
    </w:p>
    <w:p w:rsidR="0036412E" w:rsidRPr="006F0F85" w:rsidRDefault="0036412E" w:rsidP="0036412E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4"/>
          <w:szCs w:val="24"/>
          <w:lang w:eastAsia="uk-UA"/>
        </w:rPr>
      </w:pPr>
      <w:r w:rsidRPr="006F0F85">
        <w:rPr>
          <w:rFonts w:eastAsia="Times New Roman" w:cs="Helvetica"/>
          <w:color w:val="333333"/>
          <w:sz w:val="24"/>
          <w:szCs w:val="24"/>
          <w:lang w:eastAsia="uk-UA"/>
        </w:rPr>
        <w:t>7. Пецкович Л.О.,  член батьківського самоврядування.</w:t>
      </w: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r>
        <w:rPr>
          <w:rFonts w:eastAsia="Times New Roman" w:cs="Helvetica"/>
          <w:b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</w:t>
      </w: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566C88" w:rsidRDefault="00566C88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566C88" w:rsidRDefault="00566C88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566C88" w:rsidRDefault="00566C88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bookmarkStart w:id="0" w:name="_GoBack"/>
      <w:bookmarkEnd w:id="0"/>
    </w:p>
    <w:p w:rsidR="00566C88" w:rsidRDefault="00566C88" w:rsidP="00566C88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566C88" w:rsidRDefault="00566C88" w:rsidP="00566C88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uk-UA"/>
        </w:rPr>
      </w:pPr>
      <w:r>
        <w:rPr>
          <w:rFonts w:eastAsia="Times New Roman" w:cs="Helvetica"/>
          <w:b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           Додаток  2</w:t>
      </w:r>
    </w:p>
    <w:p w:rsidR="00566C88" w:rsidRDefault="00566C88" w:rsidP="00566C88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>
        <w:rPr>
          <w:rFonts w:eastAsia="Times New Roman" w:cs="Helvetica"/>
          <w:b/>
          <w:bCs/>
          <w:color w:val="333333"/>
          <w:sz w:val="28"/>
          <w:szCs w:val="28"/>
          <w:lang w:eastAsia="uk-UA"/>
        </w:rPr>
        <w:t>Орієнтовний план роботи робочої  групи</w:t>
      </w:r>
    </w:p>
    <w:p w:rsidR="00566C88" w:rsidRDefault="00566C88" w:rsidP="00566C88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color w:val="333333"/>
          <w:sz w:val="28"/>
          <w:szCs w:val="28"/>
          <w:lang w:eastAsia="uk-UA"/>
        </w:rPr>
      </w:pPr>
      <w:r>
        <w:rPr>
          <w:rFonts w:eastAsia="Times New Roman" w:cs="Helvetica"/>
          <w:b/>
          <w:color w:val="333333"/>
          <w:sz w:val="28"/>
          <w:szCs w:val="28"/>
          <w:lang w:eastAsia="uk-UA"/>
        </w:rPr>
        <w:t>з проведення комплексного вивчення й самооцінювання</w:t>
      </w:r>
    </w:p>
    <w:p w:rsidR="00566C88" w:rsidRDefault="00566C88" w:rsidP="00566C88">
      <w:pPr>
        <w:shd w:val="clear" w:color="auto" w:fill="FFFFFF"/>
        <w:spacing w:after="150" w:line="240" w:lineRule="auto"/>
        <w:ind w:right="-426"/>
        <w:jc w:val="center"/>
        <w:rPr>
          <w:rFonts w:eastAsia="Times New Roman" w:cs="Helvetica"/>
          <w:color w:val="333333"/>
          <w:sz w:val="21"/>
          <w:szCs w:val="21"/>
          <w:lang w:eastAsia="uk-UA"/>
        </w:rPr>
      </w:pPr>
      <w:r>
        <w:rPr>
          <w:rFonts w:eastAsia="Times New Roman" w:cs="Helvetica"/>
          <w:b/>
          <w:color w:val="333333"/>
          <w:sz w:val="28"/>
          <w:szCs w:val="28"/>
          <w:lang w:eastAsia="uk-UA"/>
        </w:rPr>
        <w:t> якості педагогічної діяльності Ясеницького ЗЗСО І-ІІІ ступенів на 2024-2025 н.р.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108"/>
        <w:gridCol w:w="1549"/>
        <w:gridCol w:w="2208"/>
      </w:tblGrid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566C88" w:rsidTr="00566C88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засідання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проведення комплексного вивчення й самооцінювання якості освітньої діяльності у 2024 –2025 н.р.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20.05.2025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Торищак М.І. 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членів робочої групи з питань вивчення й самооцінювання  якості освітньої діяльності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30.08.2024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Мись М.Д.</w:t>
            </w:r>
          </w:p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Торищак М. І.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з критеріями, індикаторами оцінювання освітньої діяльності за напрямом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Торищак М. І.</w:t>
            </w:r>
          </w:p>
        </w:tc>
      </w:tr>
      <w:tr w:rsidR="00566C88" w:rsidTr="00566C88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засідання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навчання з членами робочої групи щодо визначення і аналізу відповідного компоненту системи забезпечення якості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Торищак М. І., 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Підготувати опитувальні анкети, узгодження їх змісту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24.10.2024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проміжного опитування серед учасників освітнього процесу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01.11.2024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опитування серед здобувачів освіти та їх батьків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10.11.2024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проведення опитування серед педагогічних працівників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30.09.2024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робочих груп</w:t>
            </w:r>
          </w:p>
        </w:tc>
      </w:tr>
      <w:tr w:rsidR="00566C88" w:rsidTr="00566C88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засідання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підготовку звіту за результатами самооцінювання за напрямами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10.05.2025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Торищак М. І., заступник гол. робочої групи</w:t>
            </w:r>
          </w:p>
        </w:tc>
      </w:tr>
      <w:tr w:rsidR="00566C88" w:rsidTr="00566C88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засідання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узагальнення результатів самооцінювання та визначення рівня освітньої діяльності закладу освіти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10.06.2022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Торищак М. І.</w:t>
            </w:r>
          </w:p>
        </w:tc>
      </w:tr>
      <w:tr w:rsidR="00566C88" w:rsidTr="00566C88">
        <w:tc>
          <w:tcPr>
            <w:tcW w:w="98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ІV засідання</w:t>
            </w:r>
          </w:p>
        </w:tc>
      </w:tr>
      <w:tr w:rsidR="00566C88" w:rsidTr="00566C88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визначення шляхів вдосконалення освітньої діяльності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засіданні педагогічної ради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</w:tbl>
    <w:p w:rsidR="00566C88" w:rsidRDefault="00566C88" w:rsidP="00566C88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lang w:eastAsia="uk-UA"/>
        </w:rPr>
      </w:pPr>
    </w:p>
    <w:p w:rsidR="00566C88" w:rsidRDefault="00566C88" w:rsidP="00566C88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uk-UA"/>
        </w:rPr>
      </w:pPr>
      <w:r>
        <w:rPr>
          <w:rFonts w:eastAsia="Times New Roman" w:cs="Helvetica"/>
          <w:color w:val="333333"/>
          <w:lang w:eastAsia="uk-UA"/>
        </w:rPr>
        <w:t> </w:t>
      </w:r>
    </w:p>
    <w:p w:rsidR="00566C88" w:rsidRDefault="00566C88" w:rsidP="00566C88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  <w:r>
        <w:rPr>
          <w:rFonts w:eastAsia="Times New Roman" w:cs="Helvetica"/>
          <w:b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</w:t>
      </w:r>
    </w:p>
    <w:p w:rsidR="00566C88" w:rsidRDefault="00566C88" w:rsidP="00566C8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1"/>
          <w:szCs w:val="21"/>
          <w:lang w:eastAsia="uk-UA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uk-UA"/>
        </w:rPr>
        <w:t>Додаток 3</w:t>
      </w:r>
    </w:p>
    <w:p w:rsidR="00566C88" w:rsidRDefault="00566C88" w:rsidP="00566C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32"/>
          <w:szCs w:val="32"/>
          <w:lang w:eastAsia="uk-UA"/>
        </w:rPr>
      </w:pPr>
    </w:p>
    <w:p w:rsidR="00566C88" w:rsidRDefault="00566C88" w:rsidP="00566C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uk-UA"/>
        </w:rPr>
      </w:pPr>
      <w:r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uk-UA"/>
        </w:rPr>
        <w:t>Критерії, індикатори оцінювання освітніх і управлінських процесів закладу освіти та внутрішньої системи забезпечення якості освіти</w:t>
      </w:r>
    </w:p>
    <w:tbl>
      <w:tblPr>
        <w:tblpPr w:leftFromText="180" w:rightFromText="180" w:bottomFromText="200" w:vertAnchor="page" w:horzAnchor="margin" w:tblpY="3631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62"/>
        <w:gridCol w:w="1885"/>
        <w:gridCol w:w="2410"/>
        <w:gridCol w:w="2126"/>
      </w:tblGrid>
      <w:tr w:rsidR="00566C88" w:rsidTr="00566C88">
        <w:trPr>
          <w:trHeight w:val="1800"/>
        </w:trPr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оцінювання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 збору</w:t>
            </w:r>
          </w:p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інформації</w:t>
            </w:r>
          </w:p>
          <w:p w:rsidR="00566C88" w:rsidRDefault="00566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566C88" w:rsidRDefault="00566C88" w:rsidP="00566C8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uk-UA"/>
        </w:rPr>
      </w:pPr>
    </w:p>
    <w:tbl>
      <w:tblPr>
        <w:tblW w:w="9921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0"/>
        <w:gridCol w:w="1930"/>
        <w:gridCol w:w="2717"/>
        <w:gridCol w:w="13"/>
        <w:gridCol w:w="2153"/>
        <w:gridCol w:w="1828"/>
      </w:tblGrid>
      <w:tr w:rsidR="00566C88" w:rsidTr="00566C88">
        <w:tc>
          <w:tcPr>
            <w:tcW w:w="1465" w:type="dxa"/>
            <w:gridSpan w:val="2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b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uk-UA"/>
              </w:rPr>
              <w:t>Педагогічна діяльність</w:t>
            </w:r>
            <w:r>
              <w:rPr>
                <w:rFonts w:ascii="Tahoma" w:eastAsia="Times New Roman" w:hAnsi="Tahoma" w:cs="Tahoma"/>
                <w:b/>
                <w:color w:val="111111"/>
                <w:lang w:eastAsia="uk-U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  <w:lang w:eastAsia="uk-UA"/>
              </w:rPr>
              <w:t xml:space="preserve">педагогічних </w:t>
            </w:r>
            <w:r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  <w:lang w:eastAsia="uk-UA"/>
              </w:rPr>
              <w:t>працівників закладу освіти</w:t>
            </w:r>
          </w:p>
        </w:tc>
        <w:tc>
          <w:tcPr>
            <w:tcW w:w="1930" w:type="dxa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3.1.1.1. Педагогічні працівники  використовують календарно-тематичне планування, що відповідає освітній програмі закладу освіти та аналізують її результативність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3.1.1.1. Спостереження, опитування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b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3.1.2. 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3.1.2.1. Педагогічні працівники  використовують освітні технології, спрямовані на оволодіння здобувачами освіти ключовими компетентностями та наскрізними вміннями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3.1.2.1. Спостереження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b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 xml:space="preserve">3.1.3. Педагогічні працівники беруть участь у формуванні та реалізації індивідуальних освітніх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траєкторій для здобувачів освіти (за потреби)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 xml:space="preserve">3.1.3.1. Педагогічні працівники беруть участь у розробленні індивідуальних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освітніх траєкторій (складають завдання, перевіряють роботи, надають консультації, проводять оцінювання навчальних досягнень тощо) та відстежують їх результативність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3.1.3.1. Спостереження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b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3.1.4. Педагогічні працівники створюють та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 xml:space="preserve">3.1.4.1. Є педагогічні працівники, які створюють та використовують власні  публікації професійної тематики 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3.1.4.1. Опитування</w:t>
            </w:r>
          </w:p>
        </w:tc>
      </w:tr>
      <w:tr w:rsidR="00566C88" w:rsidTr="00566C88">
        <w:tc>
          <w:tcPr>
            <w:tcW w:w="1465" w:type="dxa"/>
            <w:gridSpan w:val="2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930" w:type="dxa"/>
            <w:vMerge w:val="restart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</w:tcPr>
          <w:p w:rsidR="00566C88" w:rsidRDefault="00566C88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3.1.5.1. Учителі, які використовують зміст предмету (курсу), інтегрованих змістових ліній для формування суспільних цінностей</w:t>
            </w:r>
          </w:p>
        </w:tc>
        <w:tc>
          <w:tcPr>
            <w:tcW w:w="19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3.1.5.1. Спостереження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sz w:val="24"/>
                <w:szCs w:val="24"/>
                <w:lang w:eastAsia="uk-UA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3.1.6.1. Частка педагогічних працівників, які систематично застосовують інформаційно-комунікаційні технології в освітньому процесі</w:t>
            </w:r>
          </w:p>
        </w:tc>
        <w:tc>
          <w:tcPr>
            <w:tcW w:w="19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3.1.6.1. Спостереження</w:t>
            </w:r>
          </w:p>
        </w:tc>
      </w:tr>
      <w:tr w:rsidR="00566C88" w:rsidTr="00566C88">
        <w:tc>
          <w:tcPr>
            <w:tcW w:w="1465" w:type="dxa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930" w:type="dxa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4" w:space="0" w:color="auto"/>
            </w:tcBorders>
            <w:shd w:val="clear" w:color="auto" w:fill="FFFFFF"/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 xml:space="preserve">3.2. Постійне підвищення професійного рівня і педагогічної майстерності педагогічних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працівників</w:t>
            </w:r>
          </w:p>
        </w:tc>
        <w:tc>
          <w:tcPr>
            <w:tcW w:w="2018" w:type="dxa"/>
            <w:gridSpan w:val="2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 xml:space="preserve">3.2.1.Педагогічні працівники забезпечують власний професійний розвиток і підвищення кваліфікації, у тому числі щодо методик роботи з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дітьми  з особливими освітніми потребами</w:t>
            </w:r>
          </w:p>
        </w:tc>
        <w:tc>
          <w:tcPr>
            <w:tcW w:w="26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 xml:space="preserve">3.2.1.1. Педагогічні працівники закладу освіти  обирають різні види, форми і напрямки підвищення рівня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своєї педагогічної майстерності</w:t>
            </w:r>
          </w:p>
        </w:tc>
        <w:tc>
          <w:tcPr>
            <w:tcW w:w="190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3.2.1.1. Вивчення документації, опитування</w:t>
            </w:r>
          </w:p>
        </w:tc>
      </w:tr>
      <w:tr w:rsidR="00566C88" w:rsidTr="00566C88"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888888"/>
              <w:right w:val="single" w:sz="4" w:space="0" w:color="auto"/>
            </w:tcBorders>
            <w:shd w:val="clear" w:color="auto" w:fill="FFFFFF"/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1830" w:type="dxa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3.2.2.1. 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проєкти</w:t>
            </w:r>
          </w:p>
        </w:tc>
        <w:tc>
          <w:tcPr>
            <w:tcW w:w="2789" w:type="dxa"/>
            <w:gridSpan w:val="2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3.2.2.1. Вивчення документації, опитування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830" w:type="dxa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3.2.2.2. Педагогічні працівники здійснюють експертну діяльність в сфері загальної середньої освіти</w:t>
            </w:r>
          </w:p>
        </w:tc>
        <w:tc>
          <w:tcPr>
            <w:tcW w:w="2789" w:type="dxa"/>
            <w:gridSpan w:val="2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3.2.2.2. Вивчення документації, опитування</w:t>
            </w:r>
          </w:p>
        </w:tc>
      </w:tr>
      <w:tr w:rsidR="00566C88" w:rsidTr="00566C88">
        <w:tc>
          <w:tcPr>
            <w:tcW w:w="1465" w:type="dxa"/>
            <w:gridSpan w:val="2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930" w:type="dxa"/>
            <w:vMerge w:val="restart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  <w:tc>
          <w:tcPr>
            <w:tcW w:w="1837" w:type="dxa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3.3.1.1. 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3.3.1.1. Опитування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3.3.1.2. Спостереження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83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 xml:space="preserve">3.3.2. Педагогічні працівники співпрацюють з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 xml:space="preserve">3.3.2.1. У закладі освіти налагоджена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конструктивна комунікація педагогічних працівників із батьками здобувачів освіти в різних формах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 xml:space="preserve">3.3.2.1. Вивчення документації, </w:t>
            </w:r>
            <w:r>
              <w:rPr>
                <w:rFonts w:ascii="Tahoma" w:eastAsia="Times New Roman" w:hAnsi="Tahoma" w:cs="Tahoma"/>
                <w:color w:val="111111"/>
                <w:lang w:eastAsia="uk-UA"/>
              </w:rPr>
              <w:lastRenderedPageBreak/>
              <w:t>опитування</w:t>
            </w:r>
          </w:p>
        </w:tc>
      </w:tr>
      <w:tr w:rsidR="00566C88" w:rsidTr="00566C88"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83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3.3.3 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3.3.3.1. Педагогічні працівники надають методичну підтримку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3.3.3.1. Вивчення документації, опитування</w:t>
            </w:r>
          </w:p>
        </w:tc>
      </w:tr>
      <w:tr w:rsidR="00566C88" w:rsidTr="00566C88">
        <w:tc>
          <w:tcPr>
            <w:tcW w:w="1455" w:type="dxa"/>
            <w:vMerge w:val="restart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83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3.4.1.1. Педагогічні працівники діють на засадах академічної доброчесності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3.4.1.1. Спостереження, опитування</w:t>
            </w:r>
          </w:p>
        </w:tc>
      </w:tr>
      <w:tr w:rsidR="00566C88" w:rsidTr="00566C88">
        <w:tc>
          <w:tcPr>
            <w:tcW w:w="0" w:type="auto"/>
            <w:vMerge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888888"/>
              <w:left w:val="single" w:sz="4" w:space="0" w:color="auto"/>
              <w:bottom w:val="single" w:sz="8" w:space="0" w:color="888888"/>
              <w:right w:val="single" w:sz="8" w:space="0" w:color="888888"/>
            </w:tcBorders>
            <w:shd w:val="clear" w:color="auto" w:fill="FFFFFF"/>
            <w:vAlign w:val="center"/>
            <w:hideMark/>
          </w:tcPr>
          <w:p w:rsidR="00566C88" w:rsidRDefault="00566C88">
            <w:pPr>
              <w:spacing w:after="0" w:line="256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</w:p>
        </w:tc>
        <w:tc>
          <w:tcPr>
            <w:tcW w:w="183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3.4.2.1. 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566C88" w:rsidRDefault="00566C88">
            <w:pPr>
              <w:spacing w:before="187" w:after="224" w:line="240" w:lineRule="auto"/>
              <w:rPr>
                <w:rFonts w:ascii="Tahoma" w:eastAsia="Times New Roman" w:hAnsi="Tahoma" w:cs="Tahoma"/>
                <w:color w:val="111111"/>
                <w:lang w:eastAsia="uk-UA"/>
              </w:rPr>
            </w:pPr>
            <w:r>
              <w:rPr>
                <w:rFonts w:ascii="Tahoma" w:eastAsia="Times New Roman" w:hAnsi="Tahoma" w:cs="Tahoma"/>
                <w:color w:val="111111"/>
                <w:lang w:eastAsia="uk-UA"/>
              </w:rPr>
              <w:t>3.4.2.1. Спостереження, опитування</w:t>
            </w:r>
          </w:p>
        </w:tc>
      </w:tr>
    </w:tbl>
    <w:p w:rsidR="00566C88" w:rsidRDefault="00566C88" w:rsidP="00566C8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1"/>
          <w:szCs w:val="21"/>
          <w:lang w:eastAsia="uk-UA"/>
        </w:rPr>
      </w:pPr>
    </w:p>
    <w:tbl>
      <w:tblPr>
        <w:tblpPr w:leftFromText="180" w:rightFromText="180" w:bottomFromText="160" w:vertAnchor="text" w:tblpX="-8111" w:tblpY="-13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566C88" w:rsidTr="00566C88">
        <w:trPr>
          <w:trHeight w:val="690"/>
        </w:trPr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6C88" w:rsidRDefault="00566C88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566C88" w:rsidRDefault="00566C88" w:rsidP="00566C8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1"/>
          <w:szCs w:val="21"/>
          <w:lang w:eastAsia="uk-UA"/>
        </w:rPr>
      </w:pPr>
    </w:p>
    <w:tbl>
      <w:tblPr>
        <w:tblpPr w:leftFromText="180" w:rightFromText="180" w:bottomFromText="160" w:vertAnchor="text" w:tblpX="-8051" w:tblpY="-12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566C88" w:rsidTr="00566C88">
        <w:trPr>
          <w:trHeight w:val="52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C88" w:rsidRDefault="00566C88">
            <w:pPr>
              <w:spacing w:after="150" w:line="240" w:lineRule="auto"/>
              <w:jc w:val="righ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566C88" w:rsidRDefault="00566C88" w:rsidP="00566C88">
      <w:bookmarkStart w:id="1" w:name="_gjdgxs"/>
      <w:bookmarkEnd w:id="1"/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p w:rsidR="006F0F85" w:rsidRDefault="006F0F85" w:rsidP="006F0F85">
      <w:pPr>
        <w:shd w:val="clear" w:color="auto" w:fill="FFFFFF"/>
        <w:spacing w:after="150" w:line="240" w:lineRule="auto"/>
        <w:rPr>
          <w:rFonts w:eastAsia="Times New Roman" w:cs="Helvetica"/>
          <w:b/>
          <w:color w:val="333333"/>
          <w:sz w:val="24"/>
          <w:szCs w:val="24"/>
          <w:lang w:eastAsia="uk-UA"/>
        </w:rPr>
      </w:pPr>
    </w:p>
    <w:sectPr w:rsidR="006F0F85" w:rsidSect="001C4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2C5"/>
    <w:multiLevelType w:val="multilevel"/>
    <w:tmpl w:val="F2704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5E5D0B"/>
    <w:multiLevelType w:val="hybridMultilevel"/>
    <w:tmpl w:val="5C1E6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151B5"/>
    <w:multiLevelType w:val="multilevel"/>
    <w:tmpl w:val="FE2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983C05"/>
    <w:multiLevelType w:val="multilevel"/>
    <w:tmpl w:val="7822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454D8"/>
    <w:multiLevelType w:val="hybridMultilevel"/>
    <w:tmpl w:val="963C1D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7AE3"/>
    <w:multiLevelType w:val="multilevel"/>
    <w:tmpl w:val="3D2C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5982"/>
    <w:rsid w:val="00055AE7"/>
    <w:rsid w:val="00073214"/>
    <w:rsid w:val="000C3911"/>
    <w:rsid w:val="000E79FB"/>
    <w:rsid w:val="00125982"/>
    <w:rsid w:val="00130F76"/>
    <w:rsid w:val="001B535D"/>
    <w:rsid w:val="001C4668"/>
    <w:rsid w:val="00253C09"/>
    <w:rsid w:val="002C007C"/>
    <w:rsid w:val="002E0CE8"/>
    <w:rsid w:val="002F0CCF"/>
    <w:rsid w:val="00315C42"/>
    <w:rsid w:val="00334418"/>
    <w:rsid w:val="003512C7"/>
    <w:rsid w:val="0036412E"/>
    <w:rsid w:val="00382ECD"/>
    <w:rsid w:val="003A22CF"/>
    <w:rsid w:val="003D010A"/>
    <w:rsid w:val="00437F23"/>
    <w:rsid w:val="004F6C0A"/>
    <w:rsid w:val="005062B0"/>
    <w:rsid w:val="00566C88"/>
    <w:rsid w:val="00583DAD"/>
    <w:rsid w:val="005A33F5"/>
    <w:rsid w:val="005F52AC"/>
    <w:rsid w:val="00620A40"/>
    <w:rsid w:val="006659B1"/>
    <w:rsid w:val="006B4F31"/>
    <w:rsid w:val="006F0F85"/>
    <w:rsid w:val="00764D5F"/>
    <w:rsid w:val="007B763C"/>
    <w:rsid w:val="007D222B"/>
    <w:rsid w:val="007E3E5F"/>
    <w:rsid w:val="00894277"/>
    <w:rsid w:val="009248B4"/>
    <w:rsid w:val="0094567A"/>
    <w:rsid w:val="00955D3B"/>
    <w:rsid w:val="009835F7"/>
    <w:rsid w:val="009A07BB"/>
    <w:rsid w:val="009C35A7"/>
    <w:rsid w:val="009C7FAA"/>
    <w:rsid w:val="009D3DF8"/>
    <w:rsid w:val="00A26C79"/>
    <w:rsid w:val="00A35F27"/>
    <w:rsid w:val="00A51CB2"/>
    <w:rsid w:val="00A90536"/>
    <w:rsid w:val="00AB63F5"/>
    <w:rsid w:val="00B239D8"/>
    <w:rsid w:val="00B818A4"/>
    <w:rsid w:val="00BC0868"/>
    <w:rsid w:val="00BF2553"/>
    <w:rsid w:val="00C52AE0"/>
    <w:rsid w:val="00C62680"/>
    <w:rsid w:val="00DA5510"/>
    <w:rsid w:val="00DC5904"/>
    <w:rsid w:val="00DE42E5"/>
    <w:rsid w:val="00E43C56"/>
    <w:rsid w:val="00E723BE"/>
    <w:rsid w:val="00EC75D4"/>
    <w:rsid w:val="00F14794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1FAA"/>
  <w15:docId w15:val="{3B71E040-1D64-4706-AF13-67857F7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68"/>
  </w:style>
  <w:style w:type="paragraph" w:styleId="2">
    <w:name w:val="heading 2"/>
    <w:basedOn w:val="a"/>
    <w:link w:val="20"/>
    <w:uiPriority w:val="9"/>
    <w:qFormat/>
    <w:rsid w:val="00125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9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259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5982"/>
    <w:rPr>
      <w:color w:val="800080"/>
      <w:u w:val="single"/>
    </w:rPr>
  </w:style>
  <w:style w:type="character" w:customStyle="1" w:styleId="glyphicon">
    <w:name w:val="glyphicon"/>
    <w:basedOn w:val="a0"/>
    <w:rsid w:val="00125982"/>
  </w:style>
  <w:style w:type="paragraph" w:customStyle="1" w:styleId="text-muted">
    <w:name w:val="text-muted"/>
    <w:basedOn w:val="a"/>
    <w:rsid w:val="0012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12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125982"/>
    <w:rPr>
      <w:b/>
      <w:bCs/>
    </w:rPr>
  </w:style>
  <w:style w:type="character" w:styleId="a7">
    <w:name w:val="Emphasis"/>
    <w:basedOn w:val="a0"/>
    <w:uiPriority w:val="20"/>
    <w:qFormat/>
    <w:rsid w:val="0012598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59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125982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59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125982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input-group-btn">
    <w:name w:val="input-group-btn"/>
    <w:basedOn w:val="a0"/>
    <w:rsid w:val="00125982"/>
  </w:style>
  <w:style w:type="character" w:customStyle="1" w:styleId="pull-right">
    <w:name w:val="pull-right"/>
    <w:basedOn w:val="a0"/>
    <w:rsid w:val="00125982"/>
  </w:style>
  <w:style w:type="character" w:customStyle="1" w:styleId="pull-left">
    <w:name w:val="pull-left"/>
    <w:basedOn w:val="a0"/>
    <w:rsid w:val="00125982"/>
  </w:style>
  <w:style w:type="paragraph" w:styleId="a8">
    <w:name w:val="Balloon Text"/>
    <w:basedOn w:val="a"/>
    <w:link w:val="a9"/>
    <w:uiPriority w:val="99"/>
    <w:semiHidden/>
    <w:unhideWhenUsed/>
    <w:rsid w:val="0012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9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38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499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84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4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404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5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1119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2225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626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9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714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4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84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4506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7935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73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10970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5193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018620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0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0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494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982577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0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895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147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4113-031E-4538-8DEA-009732EC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7850</Words>
  <Characters>4475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7</cp:revision>
  <dcterms:created xsi:type="dcterms:W3CDTF">2024-09-15T12:14:00Z</dcterms:created>
  <dcterms:modified xsi:type="dcterms:W3CDTF">2024-09-27T06:26:00Z</dcterms:modified>
</cp:coreProperties>
</file>