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CB" w:rsidRPr="0070069D" w:rsidRDefault="00C371CB" w:rsidP="00C371CB">
      <w:pPr>
        <w:spacing w:after="0" w:line="360" w:lineRule="auto"/>
        <w:jc w:val="center"/>
        <w:rPr>
          <w:rFonts w:ascii="Times New Roman" w:hAnsi="Times New Roman" w:cs="Times New Roman"/>
          <w:b/>
          <w:color w:val="002060"/>
          <w:sz w:val="28"/>
          <w:lang w:val="uk-UA"/>
        </w:rPr>
      </w:pPr>
      <w:r w:rsidRPr="0070069D">
        <w:rPr>
          <w:rFonts w:ascii="Times New Roman" w:hAnsi="Times New Roman" w:cs="Times New Roman"/>
          <w:b/>
          <w:color w:val="002060"/>
          <w:sz w:val="28"/>
          <w:lang w:val="uk-UA"/>
        </w:rPr>
        <w:t>ПОРЯДОК</w:t>
      </w:r>
    </w:p>
    <w:p w:rsidR="00C371CB" w:rsidRPr="0070069D" w:rsidRDefault="00C371CB" w:rsidP="00C371CB">
      <w:pPr>
        <w:spacing w:after="0" w:line="360" w:lineRule="auto"/>
        <w:jc w:val="center"/>
        <w:rPr>
          <w:rFonts w:ascii="Times New Roman" w:hAnsi="Times New Roman" w:cs="Times New Roman"/>
          <w:b/>
          <w:color w:val="002060"/>
          <w:sz w:val="28"/>
        </w:rPr>
      </w:pPr>
      <w:r w:rsidRPr="0070069D">
        <w:rPr>
          <w:rFonts w:ascii="Times New Roman" w:hAnsi="Times New Roman" w:cs="Times New Roman"/>
          <w:b/>
          <w:color w:val="002060"/>
          <w:sz w:val="28"/>
          <w:lang w:val="uk-UA"/>
        </w:rPr>
        <w:t>подання та розгляду заяв або повідомлень</w:t>
      </w:r>
      <w:r w:rsidRPr="0070069D">
        <w:rPr>
          <w:rFonts w:ascii="Times New Roman" w:hAnsi="Times New Roman" w:cs="Times New Roman"/>
          <w:b/>
          <w:color w:val="002060"/>
          <w:sz w:val="28"/>
        </w:rPr>
        <w:t xml:space="preserve"> </w:t>
      </w:r>
      <w:r w:rsidRPr="0070069D">
        <w:rPr>
          <w:rFonts w:ascii="Times New Roman" w:hAnsi="Times New Roman" w:cs="Times New Roman"/>
          <w:b/>
          <w:color w:val="002060"/>
          <w:sz w:val="28"/>
          <w:lang w:val="uk-UA"/>
        </w:rPr>
        <w:t>про випадки</w:t>
      </w:r>
    </w:p>
    <w:p w:rsidR="00C371CB" w:rsidRPr="0070069D" w:rsidRDefault="00C371CB" w:rsidP="00C371CB">
      <w:pPr>
        <w:spacing w:after="0" w:line="360" w:lineRule="auto"/>
        <w:jc w:val="center"/>
        <w:rPr>
          <w:rFonts w:ascii="Times New Roman" w:hAnsi="Times New Roman" w:cs="Times New Roman"/>
          <w:b/>
          <w:color w:val="002060"/>
          <w:sz w:val="28"/>
          <w:lang w:val="uk-UA"/>
        </w:rPr>
      </w:pPr>
      <w:r w:rsidRPr="0070069D">
        <w:rPr>
          <w:rFonts w:ascii="Times New Roman" w:hAnsi="Times New Roman" w:cs="Times New Roman"/>
          <w:b/>
          <w:color w:val="002060"/>
          <w:sz w:val="28"/>
          <w:lang w:val="uk-UA"/>
        </w:rPr>
        <w:t xml:space="preserve"> булінгу (цькуванню) у Вовчицькій гімназії </w:t>
      </w:r>
    </w:p>
    <w:p w:rsidR="00C371CB" w:rsidRPr="00D76269" w:rsidRDefault="00C371CB" w:rsidP="00C371CB">
      <w:pPr>
        <w:pStyle w:val="rvps7"/>
        <w:shd w:val="clear" w:color="auto" w:fill="FFFFFF"/>
        <w:spacing w:before="0" w:beforeAutospacing="0" w:after="0" w:afterAutospacing="0" w:line="360" w:lineRule="auto"/>
        <w:ind w:left="450" w:right="450"/>
        <w:jc w:val="center"/>
        <w:rPr>
          <w:color w:val="000000"/>
        </w:rPr>
      </w:pPr>
      <w:r w:rsidRPr="00D76269">
        <w:rPr>
          <w:rStyle w:val="rvts15"/>
          <w:b/>
          <w:bCs/>
          <w:color w:val="000000"/>
          <w:sz w:val="28"/>
          <w:szCs w:val="28"/>
        </w:rPr>
        <w:t>І.Загальні питання (положення)</w:t>
      </w:r>
    </w:p>
    <w:p w:rsidR="00C371CB" w:rsidRPr="00D76269" w:rsidRDefault="00C371CB" w:rsidP="00C371CB">
      <w:pPr>
        <w:pStyle w:val="rvps2"/>
        <w:shd w:val="clear" w:color="auto" w:fill="FFFFFF"/>
        <w:spacing w:before="0" w:beforeAutospacing="0" w:after="0" w:afterAutospacing="0" w:line="360" w:lineRule="auto"/>
        <w:jc w:val="both"/>
        <w:rPr>
          <w:color w:val="000000"/>
          <w:sz w:val="28"/>
          <w:szCs w:val="28"/>
        </w:rPr>
      </w:pPr>
      <w:r w:rsidRPr="00D76269">
        <w:rPr>
          <w:sz w:val="28"/>
          <w:szCs w:val="28"/>
        </w:rPr>
        <w:t xml:space="preserve">      1.1. Цей Порядок визначає механізм реагування на випадки булінгу (цькування) </w:t>
      </w:r>
      <w:r w:rsidRPr="00D76269">
        <w:rPr>
          <w:color w:val="000000"/>
          <w:sz w:val="28"/>
          <w:szCs w:val="28"/>
        </w:rPr>
        <w:t xml:space="preserve">у Вовчицькій </w:t>
      </w:r>
      <w:r>
        <w:rPr>
          <w:color w:val="000000"/>
          <w:sz w:val="28"/>
          <w:szCs w:val="28"/>
        </w:rPr>
        <w:t xml:space="preserve">гімназії </w:t>
      </w:r>
      <w:r w:rsidRPr="00D76269">
        <w:rPr>
          <w:color w:val="000000"/>
          <w:sz w:val="28"/>
          <w:szCs w:val="28"/>
        </w:rPr>
        <w:t xml:space="preserve">Зарічненської </w:t>
      </w:r>
      <w:r>
        <w:rPr>
          <w:color w:val="000000"/>
          <w:sz w:val="28"/>
          <w:szCs w:val="28"/>
        </w:rPr>
        <w:t xml:space="preserve">селищної </w:t>
      </w:r>
      <w:r w:rsidRPr="00D76269">
        <w:rPr>
          <w:color w:val="000000"/>
          <w:sz w:val="28"/>
          <w:szCs w:val="28"/>
        </w:rPr>
        <w:t xml:space="preserve">ради </w:t>
      </w:r>
      <w:r>
        <w:rPr>
          <w:color w:val="000000"/>
          <w:sz w:val="28"/>
          <w:szCs w:val="28"/>
        </w:rPr>
        <w:t xml:space="preserve">Вараського району </w:t>
      </w:r>
      <w:r w:rsidRPr="00D76269">
        <w:rPr>
          <w:color w:val="000000"/>
          <w:sz w:val="28"/>
          <w:szCs w:val="28"/>
        </w:rPr>
        <w:t xml:space="preserve">Рівненської області відповідно до заяв, що надійшли. </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1.2. Терміни, використані у цьому Порядку, вживаються у таких значеннях:</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кривдник (</w:t>
      </w:r>
      <w:proofErr w:type="spellStart"/>
      <w:r w:rsidRPr="00D76269">
        <w:rPr>
          <w:b/>
          <w:sz w:val="28"/>
          <w:szCs w:val="28"/>
        </w:rPr>
        <w:t>булер</w:t>
      </w:r>
      <w:proofErr w:type="spellEnd"/>
      <w:r w:rsidRPr="00D76269">
        <w:rPr>
          <w:b/>
          <w:sz w:val="28"/>
          <w:szCs w:val="28"/>
        </w:rPr>
        <w:t>)</w:t>
      </w:r>
      <w:r w:rsidRPr="00D76269">
        <w:rPr>
          <w:sz w:val="28"/>
          <w:szCs w:val="28"/>
        </w:rPr>
        <w:t xml:space="preserve">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потерпілий (жертва булінгу)</w:t>
      </w:r>
      <w:r w:rsidRPr="00D76269">
        <w:rPr>
          <w:sz w:val="28"/>
          <w:szCs w:val="28"/>
        </w:rPr>
        <w:t xml:space="preserve"> - учасник освітнього процесу, в тому числі малолітня чи неповнолітня особа, щодо якої було вчинено булінг (цькування);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спостерігачі</w:t>
      </w:r>
      <w:r w:rsidRPr="00D76269">
        <w:rPr>
          <w:sz w:val="28"/>
          <w:szCs w:val="28"/>
        </w:rPr>
        <w:t xml:space="preserve"> - свідки та (або) безпосередні очевидці випадку булінгу (цькування);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сторони булінгу (цькування)</w:t>
      </w:r>
      <w:r w:rsidRPr="00D76269">
        <w:rPr>
          <w:sz w:val="28"/>
          <w:szCs w:val="28"/>
        </w:rPr>
        <w:t xml:space="preserve"> - безпосередні учасники випадку: кривдник (</w:t>
      </w:r>
      <w:proofErr w:type="spellStart"/>
      <w:r w:rsidRPr="00D76269">
        <w:rPr>
          <w:sz w:val="28"/>
          <w:szCs w:val="28"/>
        </w:rPr>
        <w:t>булер</w:t>
      </w:r>
      <w:proofErr w:type="spellEnd"/>
      <w:r w:rsidRPr="00D76269">
        <w:rPr>
          <w:sz w:val="28"/>
          <w:szCs w:val="28"/>
        </w:rPr>
        <w:t>), потерпілий (жертва булінгу), спостерігачі (за наявності).</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1.3. Проявами, які можуть бути підставами для підозри в наявності випадку булінгу (цькування) учасника освітнього процесу в закладі освіти, є:</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замкнутість, тривожність, страх або, навпаки, демонстрація повної відсутності страху, ризикована, зухвала поведінка;</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неврівноважена поведінка;</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агресивність, напади люті, схильність до руйнації, нищення, насильства;</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різка зміна звичної для дитини поведінки;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уповільнене мислення, знижена здатність до навчання;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відлюдкуватість, уникнення спілкування;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ізоляція, виключення з групи, небажання інших учасників освітнього процесу спілкуватися;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lastRenderedPageBreak/>
        <w:t>- занижена самооцінка, наявність почуття провини;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поява швидкої втомлюваності, зниженої спроможності до концентрації уваги;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демонстрація страху перед появою інших учасників освітнього процесу;</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схильність до пропуску навчальних занять;</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відмова відвідувати заклад освіти з посиланням на погане самопочуття;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депресивні стани;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аутоагресія (самоушкодження);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суїцидальні прояви;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явні фізичні ушкодження та (або) ознаки поганого самопочуття (нудота, головний біль, кволість тощо);</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намагання приховати травми та обставини їх отримання;</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наявність фото-, відео- та аудіоматеріалів фізичних або психологічних знущань, сексуального (інтимного) змісту;</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наявні пошкодження або зникнення майна та (або) особистих речей.</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sz w:val="28"/>
          <w:szCs w:val="28"/>
        </w:rPr>
        <w:t xml:space="preserve">1.4. До булінгу (цькування) в </w:t>
      </w:r>
      <w:r>
        <w:rPr>
          <w:sz w:val="28"/>
          <w:szCs w:val="28"/>
        </w:rPr>
        <w:t xml:space="preserve">гімназії </w:t>
      </w:r>
      <w:r w:rsidRPr="00D76269">
        <w:rPr>
          <w:sz w:val="28"/>
          <w:szCs w:val="28"/>
        </w:rPr>
        <w:t>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вбиральнями,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C371CB" w:rsidRPr="00D76269" w:rsidRDefault="00C371CB" w:rsidP="00C371CB">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Ознаками булінгу</w:t>
      </w:r>
      <w:r w:rsidRPr="00D76269">
        <w:rPr>
          <w:sz w:val="28"/>
          <w:szCs w:val="28"/>
        </w:rPr>
        <w:t xml:space="preserve"> (цькування) є систематичне вчинення учасниками освітнього процесу діянь стосовно малолітньої чи неповнолітньої особи та </w:t>
      </w:r>
      <w:r w:rsidRPr="00D76269">
        <w:rPr>
          <w:sz w:val="28"/>
          <w:szCs w:val="28"/>
        </w:rPr>
        <w:lastRenderedPageBreak/>
        <w:t>(або) такою особою стосовно інших учасників освітнього процесу, в тому числі із застосуванням засобів електронних комунікацій, а саме:</w:t>
      </w:r>
    </w:p>
    <w:p w:rsidR="00C371CB" w:rsidRPr="00D76269" w:rsidRDefault="00C371CB" w:rsidP="00C371CB">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C371CB" w:rsidRPr="00D76269" w:rsidRDefault="00C371CB" w:rsidP="00C371CB">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C371CB" w:rsidRPr="00D76269" w:rsidRDefault="00C371CB" w:rsidP="00C371CB">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C371CB" w:rsidRPr="00D76269" w:rsidRDefault="00C371CB" w:rsidP="00C371CB">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будь-яка форма небажаної фізичної поведінки, зокрема ляпаси, стусани, штовхання, щипання, шмагання, кусання, завдання ударів;</w:t>
      </w:r>
    </w:p>
    <w:p w:rsidR="00C371CB" w:rsidRPr="00D76269" w:rsidRDefault="00C371CB" w:rsidP="00C371CB">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інші правопорушення насильницького характеру.</w:t>
      </w:r>
    </w:p>
    <w:p w:rsidR="00C371CB" w:rsidRPr="0070699B" w:rsidRDefault="00C371CB" w:rsidP="00C371CB">
      <w:pPr>
        <w:pStyle w:val="rvps2"/>
        <w:shd w:val="clear" w:color="auto" w:fill="FFFFFF"/>
        <w:spacing w:before="0" w:beforeAutospacing="0" w:after="0" w:afterAutospacing="0" w:line="360" w:lineRule="auto"/>
        <w:ind w:firstLine="450"/>
        <w:rPr>
          <w:b/>
          <w:sz w:val="28"/>
          <w:szCs w:val="28"/>
        </w:rPr>
      </w:pPr>
      <w:r w:rsidRPr="00D76269">
        <w:rPr>
          <w:b/>
          <w:sz w:val="28"/>
          <w:szCs w:val="28"/>
        </w:rPr>
        <w:t xml:space="preserve">ІІ. Порядок подання заяв про випадок булінгу (цькування) </w:t>
      </w:r>
    </w:p>
    <w:p w:rsidR="00C371CB" w:rsidRPr="00D76269" w:rsidRDefault="00C371CB" w:rsidP="00C371CB">
      <w:pPr>
        <w:numPr>
          <w:ilvl w:val="0"/>
          <w:numId w:val="2"/>
        </w:numPr>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Усі здобувачі освіти гімназії</w:t>
      </w:r>
      <w:r w:rsidRPr="00D76269">
        <w:rPr>
          <w:rFonts w:ascii="Times New Roman" w:hAnsi="Times New Roman" w:cs="Times New Roman"/>
          <w:sz w:val="28"/>
          <w:szCs w:val="28"/>
          <w:lang w:val="uk-UA"/>
        </w:rPr>
        <w:t>, педагогічні працівники, батьки та інші учасники освітнього процесу повинні обов’язково повідомити директора про випадки булінгу (цькування), учасниками або свідками якого вони стали, або підозрюють про його вчинення щодо інших осіб за зовнішніми ознаками, або про які отримали досто</w:t>
      </w:r>
      <w:r>
        <w:rPr>
          <w:rFonts w:ascii="Times New Roman" w:hAnsi="Times New Roman" w:cs="Times New Roman"/>
          <w:sz w:val="28"/>
          <w:szCs w:val="28"/>
          <w:lang w:val="uk-UA"/>
        </w:rPr>
        <w:t xml:space="preserve">вірну інформацію від інших осіб, </w:t>
      </w:r>
      <w:r w:rsidRPr="00144CFA">
        <w:rPr>
          <w:sz w:val="28"/>
          <w:szCs w:val="28"/>
          <w:lang w:val="uk-UA"/>
        </w:rPr>
        <w:t xml:space="preserve">а </w:t>
      </w:r>
      <w:r w:rsidRPr="00144CFA">
        <w:rPr>
          <w:rFonts w:ascii="Times New Roman" w:hAnsi="Times New Roman" w:cs="Times New Roman"/>
          <w:sz w:val="28"/>
          <w:szCs w:val="28"/>
          <w:lang w:val="uk-UA"/>
        </w:rPr>
        <w:t>також подати заяву.</w:t>
      </w:r>
    </w:p>
    <w:p w:rsidR="00C371CB" w:rsidRPr="002D5CD2" w:rsidRDefault="00C371CB" w:rsidP="00C371CB">
      <w:pPr>
        <w:pStyle w:val="rvps2"/>
        <w:numPr>
          <w:ilvl w:val="0"/>
          <w:numId w:val="2"/>
        </w:numPr>
        <w:shd w:val="clear" w:color="auto" w:fill="FFFFFF"/>
        <w:spacing w:before="0" w:beforeAutospacing="0" w:after="0" w:afterAutospacing="0" w:line="360" w:lineRule="auto"/>
        <w:jc w:val="both"/>
        <w:textAlignment w:val="baseline"/>
        <w:rPr>
          <w:color w:val="000000"/>
          <w:sz w:val="28"/>
          <w:szCs w:val="28"/>
        </w:rPr>
      </w:pPr>
      <w:r w:rsidRPr="002D5CD2">
        <w:rPr>
          <w:color w:val="000000"/>
          <w:sz w:val="28"/>
          <w:szCs w:val="28"/>
        </w:rPr>
        <w:t xml:space="preserve">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r w:rsidRPr="002D5CD2">
        <w:rPr>
          <w:sz w:val="28"/>
          <w:szCs w:val="28"/>
        </w:rPr>
        <w:t>що надійшли.</w:t>
      </w:r>
      <w:r w:rsidRPr="002D5CD2">
        <w:rPr>
          <w:color w:val="FF0000"/>
          <w:sz w:val="28"/>
          <w:szCs w:val="28"/>
        </w:rPr>
        <w:t xml:space="preserve"> </w:t>
      </w:r>
    </w:p>
    <w:p w:rsidR="00C371CB" w:rsidRPr="00D76269" w:rsidRDefault="00C371CB" w:rsidP="00C371CB">
      <w:pPr>
        <w:numPr>
          <w:ilvl w:val="0"/>
          <w:numId w:val="2"/>
        </w:numPr>
        <w:spacing w:after="0" w:line="360" w:lineRule="auto"/>
        <w:jc w:val="both"/>
        <w:textAlignment w:val="baseline"/>
        <w:rPr>
          <w:rFonts w:ascii="Times New Roman" w:hAnsi="Times New Roman" w:cs="Times New Roman"/>
          <w:color w:val="4BACC6" w:themeColor="accent5"/>
          <w:sz w:val="28"/>
          <w:szCs w:val="28"/>
          <w:lang w:val="uk-UA"/>
        </w:rPr>
      </w:pPr>
      <w:r w:rsidRPr="002D5CD2">
        <w:rPr>
          <w:rFonts w:ascii="Times New Roman" w:hAnsi="Times New Roman" w:cs="Times New Roman"/>
          <w:sz w:val="28"/>
          <w:szCs w:val="28"/>
          <w:lang w:val="uk-UA"/>
        </w:rPr>
        <w:t>Заява, написана від руки, може  подаватися особисто або із застосуванням засобів електронної комунікації, на електронну адресу</w:t>
      </w:r>
      <w:r w:rsidRPr="00D76269">
        <w:rPr>
          <w:rFonts w:ascii="Times New Roman" w:hAnsi="Times New Roman" w:cs="Times New Roman"/>
          <w:sz w:val="28"/>
          <w:szCs w:val="28"/>
          <w:lang w:val="uk-UA"/>
        </w:rPr>
        <w:t> </w:t>
      </w:r>
      <w:r w:rsidRPr="00A8345B">
        <w:rPr>
          <w:rFonts w:ascii="Times New Roman" w:hAnsi="Times New Roman" w:cs="Times New Roman"/>
          <w:sz w:val="28"/>
          <w:szCs w:val="28"/>
        </w:rPr>
        <w:t xml:space="preserve"> </w:t>
      </w:r>
      <w:r>
        <w:rPr>
          <w:rFonts w:ascii="Times New Roman" w:hAnsi="Times New Roman" w:cs="Times New Roman"/>
          <w:sz w:val="28"/>
          <w:szCs w:val="28"/>
          <w:lang w:val="uk-UA"/>
        </w:rPr>
        <w:t xml:space="preserve">гімназії </w:t>
      </w:r>
      <w:hyperlink r:id="rId5" w:history="1">
        <w:r w:rsidRPr="00F43E31">
          <w:rPr>
            <w:rStyle w:val="a4"/>
            <w:rFonts w:ascii="Times New Roman" w:hAnsi="Times New Roman" w:cs="Times New Roman"/>
            <w:bCs/>
            <w:sz w:val="28"/>
            <w:szCs w:val="28"/>
            <w:shd w:val="clear" w:color="auto" w:fill="FFFFFF"/>
          </w:rPr>
          <w:t>vovchyci_gymnasium@ukr.net</w:t>
        </w:r>
      </w:hyperlink>
      <w:r>
        <w:rPr>
          <w:rFonts w:ascii="Times New Roman" w:hAnsi="Times New Roman" w:cs="Times New Roman"/>
          <w:bCs/>
          <w:sz w:val="28"/>
          <w:szCs w:val="28"/>
          <w:shd w:val="clear" w:color="auto" w:fill="FFFFFF"/>
          <w:lang w:val="uk-UA"/>
        </w:rPr>
        <w:t xml:space="preserve"> </w:t>
      </w:r>
      <w:r>
        <w:rPr>
          <w:rFonts w:ascii="Times New Roman" w:hAnsi="Times New Roman" w:cs="Times New Roman"/>
          <w:sz w:val="28"/>
          <w:szCs w:val="28"/>
          <w:lang w:val="uk-UA"/>
        </w:rPr>
        <w:t>.</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lastRenderedPageBreak/>
        <w:t xml:space="preserve">Форма та примірний зміст Заяви оприлюднено на офіційному веб-сайті закладу за посиланням: </w:t>
      </w:r>
      <w:r w:rsidRPr="00D76269">
        <w:t xml:space="preserve"> </w:t>
      </w:r>
      <w:hyperlink r:id="rId6" w:history="1">
        <w:r w:rsidRPr="00D76269">
          <w:rPr>
            <w:rStyle w:val="a4"/>
            <w:sz w:val="28"/>
            <w:szCs w:val="28"/>
          </w:rPr>
          <w:t>vovchyci-znz.e-schools.info</w:t>
        </w:r>
      </w:hyperlink>
      <w:r w:rsidRPr="00D76269">
        <w:rPr>
          <w:color w:val="000000"/>
          <w:sz w:val="28"/>
          <w:szCs w:val="28"/>
        </w:rPr>
        <w:t xml:space="preserve"> </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Прийом та реєстрацію поданих Заяв здійснює відповідальна особа, а в разі її відсутності – особисто керівник закладу.</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Заяви реєструються в окремому журналі реєстрації заяв про випадки булінгу (цькування).</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shd w:val="clear" w:color="auto" w:fill="FFFFFF"/>
        </w:rPr>
      </w:pPr>
      <w:r w:rsidRPr="00D76269">
        <w:rPr>
          <w:color w:val="000000"/>
          <w:sz w:val="28"/>
          <w:szCs w:val="28"/>
          <w:shd w:val="clear" w:color="auto" w:fill="FFFFFF"/>
        </w:rPr>
        <w:t> Датою подання заяв є дата їх прийняття.</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shd w:val="clear" w:color="auto" w:fill="FFFFFF"/>
        </w:rPr>
        <w:t xml:space="preserve"> Розгляд Заяв здійснює керівник закладу </w:t>
      </w:r>
      <w:r w:rsidRPr="00D76269">
        <w:rPr>
          <w:sz w:val="28"/>
        </w:rPr>
        <w:t>з дотриманням конфіденційності.</w:t>
      </w:r>
    </w:p>
    <w:p w:rsidR="00C371CB" w:rsidRPr="00402BF5" w:rsidRDefault="00C371CB" w:rsidP="00C371CB">
      <w:pPr>
        <w:pStyle w:val="rvps2"/>
        <w:shd w:val="clear" w:color="auto" w:fill="FFFFFF"/>
        <w:spacing w:before="0" w:beforeAutospacing="0" w:after="0" w:afterAutospacing="0" w:line="360" w:lineRule="auto"/>
        <w:ind w:left="709" w:hanging="425"/>
        <w:jc w:val="both"/>
        <w:rPr>
          <w:color w:val="000000"/>
          <w:sz w:val="28"/>
          <w:szCs w:val="28"/>
          <w:shd w:val="clear" w:color="auto" w:fill="FFFFFF"/>
        </w:rPr>
      </w:pPr>
      <w:r>
        <w:rPr>
          <w:sz w:val="28"/>
        </w:rPr>
        <w:t xml:space="preserve">9. </w:t>
      </w:r>
      <w:r w:rsidRPr="003A49E9">
        <w:rPr>
          <w:sz w:val="28"/>
        </w:rPr>
        <w:t xml:space="preserve">Керівник закладу освіти у строк, який не перевищує однієї доби, повідомляє, батьків, особи, яка стала стороною булінгу; за потреби викликає бригаду екстреної медичної  допомоги.    </w:t>
      </w:r>
    </w:p>
    <w:p w:rsidR="00C371CB" w:rsidRPr="00A8345B" w:rsidRDefault="00C371CB" w:rsidP="00C371CB">
      <w:pPr>
        <w:pStyle w:val="rvps2"/>
        <w:numPr>
          <w:ilvl w:val="0"/>
          <w:numId w:val="2"/>
        </w:numPr>
        <w:shd w:val="clear" w:color="auto" w:fill="FFFFFF"/>
        <w:spacing w:before="0" w:beforeAutospacing="0" w:after="0" w:afterAutospacing="0" w:line="360" w:lineRule="auto"/>
        <w:jc w:val="both"/>
        <w:rPr>
          <w:sz w:val="28"/>
          <w:szCs w:val="28"/>
          <w:shd w:val="clear" w:color="auto" w:fill="FFFFFF"/>
        </w:rPr>
      </w:pPr>
      <w:r w:rsidRPr="00A8345B">
        <w:rPr>
          <w:sz w:val="28"/>
          <w:szCs w:val="28"/>
        </w:rPr>
        <w:t xml:space="preserve">Протягом 1 робочого дня з дати подання Заяви директор </w:t>
      </w:r>
      <w:r>
        <w:rPr>
          <w:sz w:val="28"/>
          <w:szCs w:val="28"/>
        </w:rPr>
        <w:t xml:space="preserve">гімназії </w:t>
      </w:r>
      <w:r w:rsidRPr="00A8345B">
        <w:rPr>
          <w:sz w:val="28"/>
          <w:szCs w:val="28"/>
          <w:shd w:val="clear" w:color="auto" w:fill="FFFFFF"/>
        </w:rPr>
        <w:t xml:space="preserve">здійснює її розгляд та </w:t>
      </w:r>
      <w:r w:rsidRPr="00A8345B">
        <w:rPr>
          <w:sz w:val="28"/>
          <w:szCs w:val="28"/>
        </w:rPr>
        <w:t xml:space="preserve"> видає наказ про проведення розслідування із визначенням уповноважених осіб та створення Комісії з розгляду випадку булінгу (цькування) (далі – Комісія), скликає її засідання. </w:t>
      </w:r>
    </w:p>
    <w:p w:rsidR="00C371CB" w:rsidRPr="00D76269" w:rsidRDefault="00C371CB" w:rsidP="00C371CB">
      <w:pPr>
        <w:numPr>
          <w:ilvl w:val="0"/>
          <w:numId w:val="2"/>
        </w:numPr>
        <w:spacing w:after="0" w:line="36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До складу такої К</w:t>
      </w:r>
      <w:r w:rsidRPr="00D76269">
        <w:rPr>
          <w:rFonts w:ascii="Times New Roman" w:eastAsia="Times New Roman" w:hAnsi="Times New Roman" w:cs="Times New Roman"/>
          <w:sz w:val="28"/>
          <w:szCs w:val="28"/>
          <w:lang w:val="uk-UA" w:eastAsia="uk-UA"/>
        </w:rPr>
        <w:t>омісії входять педагогічні працівники (у тому числі практичний психолог</w:t>
      </w:r>
      <w:r>
        <w:rPr>
          <w:rFonts w:ascii="Times New Roman" w:eastAsia="Times New Roman" w:hAnsi="Times New Roman" w:cs="Times New Roman"/>
          <w:sz w:val="28"/>
          <w:szCs w:val="28"/>
          <w:lang w:val="uk-UA" w:eastAsia="uk-UA"/>
        </w:rPr>
        <w:t>, соціальний педагог</w:t>
      </w:r>
      <w:r w:rsidRPr="00D76269">
        <w:rPr>
          <w:rFonts w:ascii="Times New Roman" w:eastAsia="Times New Roman" w:hAnsi="Times New Roman" w:cs="Times New Roman"/>
          <w:sz w:val="28"/>
          <w:szCs w:val="28"/>
          <w:lang w:val="uk-UA" w:eastAsia="uk-UA"/>
        </w:rPr>
        <w:t xml:space="preserve">), батьки постраждалого та </w:t>
      </w:r>
      <w:proofErr w:type="spellStart"/>
      <w:r w:rsidRPr="00D76269">
        <w:rPr>
          <w:rFonts w:ascii="Times New Roman" w:eastAsia="Times New Roman" w:hAnsi="Times New Roman" w:cs="Times New Roman"/>
          <w:sz w:val="28"/>
          <w:szCs w:val="28"/>
          <w:lang w:val="uk-UA" w:eastAsia="uk-UA"/>
        </w:rPr>
        <w:t>булерів</w:t>
      </w:r>
      <w:proofErr w:type="spellEnd"/>
      <w:r w:rsidRPr="00D76269">
        <w:rPr>
          <w:rFonts w:ascii="Times New Roman" w:eastAsia="Times New Roman" w:hAnsi="Times New Roman" w:cs="Times New Roman"/>
          <w:sz w:val="28"/>
          <w:szCs w:val="28"/>
          <w:lang w:val="uk-UA" w:eastAsia="uk-UA"/>
        </w:rPr>
        <w:t>, керівник навчального закладу та інші зацікавлені особи.</w:t>
      </w:r>
    </w:p>
    <w:p w:rsidR="00C371CB" w:rsidRPr="00D76269"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D76269">
        <w:rPr>
          <w:color w:val="000000"/>
          <w:sz w:val="28"/>
          <w:szCs w:val="28"/>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C371CB" w:rsidRPr="003C6004" w:rsidRDefault="00C371CB" w:rsidP="00C371CB">
      <w:pPr>
        <w:numPr>
          <w:ilvl w:val="0"/>
          <w:numId w:val="2"/>
        </w:numPr>
        <w:spacing w:after="0" w:line="360" w:lineRule="auto"/>
        <w:jc w:val="both"/>
        <w:textAlignment w:val="baseline"/>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 </w:t>
      </w:r>
      <w:r w:rsidRPr="00D76269">
        <w:rPr>
          <w:rFonts w:ascii="Times New Roman" w:hAnsi="Times New Roman" w:cs="Times New Roman"/>
          <w:color w:val="000000"/>
          <w:sz w:val="28"/>
          <w:szCs w:val="28"/>
          <w:lang w:val="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C371CB" w:rsidRPr="003C6004"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Якщо Комісія визначила що це був булінг (цькування), а не одноразовий конфлікт чи сварка, тобто відповідні дії носять систематичний характер, то</w:t>
      </w:r>
      <w:r w:rsidRPr="003C6004">
        <w:rPr>
          <w:color w:val="000000"/>
          <w:sz w:val="28"/>
          <w:szCs w:val="28"/>
        </w:rPr>
        <w:t xml:space="preserve"> </w:t>
      </w:r>
      <w:r w:rsidRPr="00D76269">
        <w:rPr>
          <w:color w:val="000000"/>
          <w:sz w:val="28"/>
          <w:szCs w:val="28"/>
        </w:rPr>
        <w:t>протягом одн</w:t>
      </w:r>
      <w:r>
        <w:rPr>
          <w:color w:val="000000"/>
          <w:sz w:val="28"/>
          <w:szCs w:val="28"/>
        </w:rPr>
        <w:t xml:space="preserve">ієї доби </w:t>
      </w:r>
      <w:r w:rsidRPr="003C6004">
        <w:rPr>
          <w:color w:val="000000"/>
          <w:sz w:val="28"/>
          <w:szCs w:val="28"/>
        </w:rPr>
        <w:t xml:space="preserve"> керівник закладу освіти зобов’язаний повідомити уповноважені органи Національної поліції (ювенальна поліція) та службу у справах дітей.</w:t>
      </w:r>
    </w:p>
    <w:p w:rsidR="00C371CB"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lastRenderedPageBreak/>
        <w:t>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371CB" w:rsidRPr="003A49E9" w:rsidRDefault="00C371CB" w:rsidP="00C371CB">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Якщо випадок цькування був од</w:t>
      </w:r>
      <w:r w:rsidRPr="003A49E9">
        <w:rPr>
          <w:rFonts w:ascii="Times New Roman" w:hAnsi="Times New Roman" w:cs="Times New Roman"/>
          <w:sz w:val="28"/>
          <w:lang w:val="uk-UA"/>
        </w:rPr>
        <w:t>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w:t>
      </w:r>
    </w:p>
    <w:p w:rsidR="00C371CB" w:rsidRPr="0070699B"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3C6004">
        <w:rPr>
          <w:color w:val="000000"/>
          <w:sz w:val="28"/>
          <w:szCs w:val="28"/>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r w:rsidRPr="0070699B">
        <w:rPr>
          <w:sz w:val="28"/>
        </w:rPr>
        <w:t xml:space="preserve"> </w:t>
      </w:r>
    </w:p>
    <w:p w:rsidR="00C371CB" w:rsidRPr="003C6004"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Pr>
          <w:sz w:val="28"/>
        </w:rPr>
        <w:t xml:space="preserve"> </w:t>
      </w:r>
      <w:r w:rsidRPr="003A49E9">
        <w:rPr>
          <w:sz w:val="28"/>
        </w:rPr>
        <w:t>Здобувач освіти може звернутись на гарячу лінію ГО «</w:t>
      </w:r>
      <w:proofErr w:type="spellStart"/>
      <w:r w:rsidRPr="003A49E9">
        <w:rPr>
          <w:sz w:val="28"/>
        </w:rPr>
        <w:t>Ла</w:t>
      </w:r>
      <w:proofErr w:type="spellEnd"/>
      <w:r w:rsidRPr="003A49E9">
        <w:rPr>
          <w:sz w:val="28"/>
        </w:rPr>
        <w:t xml:space="preserve"> </w:t>
      </w:r>
      <w:proofErr w:type="spellStart"/>
      <w:r w:rsidRPr="003A49E9">
        <w:rPr>
          <w:sz w:val="28"/>
        </w:rPr>
        <w:t>Страда</w:t>
      </w:r>
      <w:proofErr w:type="spellEnd"/>
      <w:r w:rsidRPr="003A49E9">
        <w:rPr>
          <w:sz w:val="28"/>
        </w:rPr>
        <w:t xml:space="preserve">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w:t>
      </w:r>
      <w:r>
        <w:rPr>
          <w:sz w:val="28"/>
        </w:rPr>
        <w:t xml:space="preserve">я безоплатної правової допомоги (номери телефонів </w:t>
      </w:r>
      <w:r w:rsidRPr="003C6004">
        <w:rPr>
          <w:color w:val="000000"/>
          <w:sz w:val="28"/>
          <w:szCs w:val="28"/>
        </w:rPr>
        <w:t xml:space="preserve">оприлюднено на офіційному веб-сайті закладу за посиланням: </w:t>
      </w:r>
      <w:r w:rsidRPr="003C6004">
        <w:t xml:space="preserve"> </w:t>
      </w:r>
      <w:hyperlink r:id="rId7" w:history="1">
        <w:r w:rsidRPr="003C6004">
          <w:rPr>
            <w:rStyle w:val="a4"/>
            <w:sz w:val="28"/>
            <w:szCs w:val="28"/>
          </w:rPr>
          <w:t>vovchyci-znz.e-schools.info</w:t>
        </w:r>
      </w:hyperlink>
      <w:r>
        <w:rPr>
          <w:color w:val="000000"/>
          <w:sz w:val="28"/>
          <w:szCs w:val="28"/>
        </w:rPr>
        <w:t xml:space="preserve"> та на інформаційних стендах гімназії ).</w:t>
      </w:r>
      <w:r w:rsidRPr="003A49E9">
        <w:rPr>
          <w:sz w:val="28"/>
        </w:rPr>
        <w:t xml:space="preserve"> Після отримання звернення дитини, відповідна особа або орган інформує керівника закладу освіти у письмовій формі про випадок булінгу. Керівник закладу освіти має розглянути таке звернення та з’ясувати всі обставини булінгу</w:t>
      </w:r>
    </w:p>
    <w:p w:rsidR="00C371CB"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Батьки зобов’язані</w:t>
      </w:r>
      <w:r>
        <w:rPr>
          <w:color w:val="000000"/>
          <w:sz w:val="28"/>
          <w:szCs w:val="28"/>
        </w:rPr>
        <w:t xml:space="preserve"> </w:t>
      </w:r>
      <w:r w:rsidRPr="00D76269">
        <w:rPr>
          <w:color w:val="000000"/>
          <w:sz w:val="28"/>
          <w:szCs w:val="28"/>
        </w:rPr>
        <w:t>виконувати рішення та рекомендації Комісії.</w:t>
      </w:r>
    </w:p>
    <w:p w:rsidR="00C371CB" w:rsidRPr="003C6004" w:rsidRDefault="00C371CB" w:rsidP="00C371CB">
      <w:pPr>
        <w:pStyle w:val="rvps2"/>
        <w:numPr>
          <w:ilvl w:val="0"/>
          <w:numId w:val="2"/>
        </w:numPr>
        <w:shd w:val="clear" w:color="auto" w:fill="FFFFFF"/>
        <w:spacing w:before="0" w:beforeAutospacing="0" w:after="0" w:afterAutospacing="0" w:line="360" w:lineRule="auto"/>
        <w:jc w:val="both"/>
        <w:rPr>
          <w:color w:val="000000"/>
          <w:sz w:val="28"/>
          <w:szCs w:val="28"/>
        </w:rPr>
      </w:pPr>
      <w:r>
        <w:rPr>
          <w:sz w:val="28"/>
        </w:rPr>
        <w:t xml:space="preserve"> </w:t>
      </w:r>
      <w:r w:rsidRPr="003C6004">
        <w:rPr>
          <w:sz w:val="28"/>
        </w:rPr>
        <w:t>За будь-якого рішення Комісії з розгляду питань випадків булінгу (цькування), керівник закладу освіти забезпечує психологічну підтримку усіх учасників відповідного процесу.</w:t>
      </w:r>
    </w:p>
    <w:p w:rsidR="00C371CB" w:rsidRPr="0070699B" w:rsidRDefault="00C371CB" w:rsidP="00C371CB">
      <w:pPr>
        <w:spacing w:after="0" w:line="360" w:lineRule="auto"/>
        <w:ind w:left="284"/>
        <w:jc w:val="both"/>
        <w:rPr>
          <w:rFonts w:ascii="Times New Roman" w:hAnsi="Times New Roman" w:cs="Times New Roman"/>
          <w:sz w:val="28"/>
          <w:lang w:val="uk-UA"/>
        </w:rPr>
      </w:pPr>
    </w:p>
    <w:p w:rsidR="00D57B87" w:rsidRPr="00C371CB" w:rsidRDefault="00D57B87">
      <w:pPr>
        <w:rPr>
          <w:lang w:val="uk-UA"/>
        </w:rPr>
      </w:pPr>
    </w:p>
    <w:sectPr w:rsidR="00D57B87" w:rsidRPr="00C371CB" w:rsidSect="00A47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921"/>
    <w:multiLevelType w:val="multilevel"/>
    <w:tmpl w:val="BABC626C"/>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71CB"/>
    <w:rsid w:val="0070069D"/>
    <w:rsid w:val="00A476FE"/>
    <w:rsid w:val="00C371CB"/>
    <w:rsid w:val="00D57B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CB"/>
    <w:pPr>
      <w:spacing w:after="160" w:line="259" w:lineRule="auto"/>
      <w:ind w:left="720"/>
      <w:contextualSpacing/>
    </w:pPr>
    <w:rPr>
      <w:rFonts w:eastAsiaTheme="minorHAnsi"/>
      <w:lang w:eastAsia="en-US"/>
    </w:rPr>
  </w:style>
  <w:style w:type="character" w:styleId="a4">
    <w:name w:val="Hyperlink"/>
    <w:rsid w:val="00C371CB"/>
    <w:rPr>
      <w:color w:val="0000FF"/>
      <w:u w:val="single"/>
    </w:rPr>
  </w:style>
  <w:style w:type="paragraph" w:customStyle="1" w:styleId="rvps7">
    <w:name w:val="rvps7"/>
    <w:basedOn w:val="a"/>
    <w:rsid w:val="00C371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C371CB"/>
  </w:style>
  <w:style w:type="paragraph" w:customStyle="1" w:styleId="rvps2">
    <w:name w:val="rvps2"/>
    <w:basedOn w:val="a"/>
    <w:rsid w:val="00C371C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vchyci-znz.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vchyci-znz.e-schools.info" TargetMode="External"/><Relationship Id="rId5" Type="http://schemas.openxmlformats.org/officeDocument/2006/relationships/hyperlink" Target="mailto:vovchyci_gymnasium@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5254</Words>
  <Characters>2996</Characters>
  <Application>Microsoft Office Word</Application>
  <DocSecurity>0</DocSecurity>
  <Lines>24</Lines>
  <Paragraphs>16</Paragraphs>
  <ScaleCrop>false</ScaleCrop>
  <Company>Microsoft</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2021-11-24T13:36:00Z</dcterms:created>
  <dcterms:modified xsi:type="dcterms:W3CDTF">2025-02-12T13:40:00Z</dcterms:modified>
</cp:coreProperties>
</file>