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56" w:rsidRDefault="00AA6B56" w:rsidP="00AA6B56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</w:p>
    <w:p w:rsidR="00AA6B56" w:rsidRDefault="00AA6B56" w:rsidP="00AA6B56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засідання педагогічної р</w:t>
      </w:r>
      <w:r w:rsidR="001F68CB">
        <w:rPr>
          <w:rFonts w:ascii="Times New Roman" w:hAnsi="Times New Roman"/>
          <w:b/>
          <w:bCs/>
          <w:sz w:val="28"/>
          <w:szCs w:val="28"/>
          <w:lang w:val="uk-UA"/>
        </w:rPr>
        <w:t xml:space="preserve">ади </w:t>
      </w:r>
      <w:proofErr w:type="spellStart"/>
      <w:r w:rsidR="001F68CB">
        <w:rPr>
          <w:rFonts w:ascii="Times New Roman" w:hAnsi="Times New Roman"/>
          <w:b/>
          <w:bCs/>
          <w:sz w:val="28"/>
          <w:szCs w:val="28"/>
          <w:lang w:val="uk-UA"/>
        </w:rPr>
        <w:t>Вовчухівського</w:t>
      </w:r>
      <w:proofErr w:type="spellEnd"/>
      <w:r w:rsidR="001F68CB">
        <w:rPr>
          <w:rFonts w:ascii="Times New Roman" w:hAnsi="Times New Roman"/>
          <w:b/>
          <w:bCs/>
          <w:sz w:val="28"/>
          <w:szCs w:val="28"/>
          <w:lang w:val="uk-UA"/>
        </w:rPr>
        <w:t xml:space="preserve"> ЗЗСО І-ІІ ступенів</w:t>
      </w:r>
    </w:p>
    <w:p w:rsidR="00AA6B56" w:rsidRDefault="00AA6B56" w:rsidP="00AA6B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A6B56" w:rsidRDefault="00AA6B56" w:rsidP="00AA6B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від 28.03.2023 р.</w:t>
      </w:r>
    </w:p>
    <w:p w:rsidR="00AA6B56" w:rsidRDefault="00AA6B56" w:rsidP="00AA6B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A6B56" w:rsidRDefault="00AA6B56" w:rsidP="00AA6B56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Порядок денний:</w:t>
      </w:r>
    </w:p>
    <w:p w:rsidR="00AA6B56" w:rsidRDefault="00AA6B56" w:rsidP="00AA6B56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1.Вибір підручників для учнів 6 класу НУШ.</w:t>
      </w:r>
    </w:p>
    <w:p w:rsidR="00AA6B56" w:rsidRDefault="00AA6B56" w:rsidP="00AA6B56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2.Результати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самооцінювання</w:t>
      </w:r>
      <w:proofErr w:type="spellEnd"/>
      <w:r w:rsidR="001F68CB">
        <w:rPr>
          <w:rFonts w:ascii="Times New Roman" w:eastAsia="Times New Roman" w:hAnsi="Times New Roman"/>
          <w:sz w:val="28"/>
          <w:szCs w:val="28"/>
          <w:lang w:val="uk-UA"/>
        </w:rPr>
        <w:t xml:space="preserve"> управлінських та освітніх процесів у </w:t>
      </w:r>
      <w:proofErr w:type="spellStart"/>
      <w:r w:rsidR="001F68CB">
        <w:rPr>
          <w:rFonts w:ascii="Times New Roman" w:eastAsia="Times New Roman" w:hAnsi="Times New Roman"/>
          <w:sz w:val="28"/>
          <w:szCs w:val="28"/>
          <w:lang w:val="uk-UA"/>
        </w:rPr>
        <w:t>Вовчухівському</w:t>
      </w:r>
      <w:proofErr w:type="spellEnd"/>
      <w:r w:rsidR="001F68CB">
        <w:rPr>
          <w:rFonts w:ascii="Times New Roman" w:eastAsia="Times New Roman" w:hAnsi="Times New Roman"/>
          <w:sz w:val="28"/>
          <w:szCs w:val="28"/>
          <w:lang w:val="uk-UA"/>
        </w:rPr>
        <w:t xml:space="preserve"> ЗЗСО І-ІІ ступенів.</w:t>
      </w:r>
    </w:p>
    <w:p w:rsidR="001F68CB" w:rsidRDefault="001F68CB" w:rsidP="00AA6B56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1F68CB" w:rsidRPr="00897A72" w:rsidRDefault="001F68CB" w:rsidP="00AA6B56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897A72">
        <w:rPr>
          <w:rFonts w:ascii="Times New Roman" w:eastAsia="Times New Roman" w:hAnsi="Times New Roman"/>
          <w:sz w:val="28"/>
          <w:szCs w:val="28"/>
          <w:lang w:val="uk-UA"/>
        </w:rPr>
        <w:t>1.СЛУХАЛИ:</w:t>
      </w:r>
    </w:p>
    <w:p w:rsidR="00453F30" w:rsidRPr="00897A72" w:rsidRDefault="00215C49" w:rsidP="00453F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Гут О.Т.. заступника директора з </w:t>
      </w:r>
      <w:proofErr w:type="spellStart"/>
      <w:r w:rsidRPr="00897A72">
        <w:rPr>
          <w:rFonts w:ascii="Times New Roman" w:hAnsi="Times New Roman" w:cs="Times New Roman"/>
          <w:sz w:val="28"/>
          <w:szCs w:val="28"/>
          <w:lang w:val="uk-UA"/>
        </w:rPr>
        <w:t>НВР,</w:t>
      </w:r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</w:t>
      </w:r>
      <w:r w:rsidR="003063A2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Листа МОН України від 09.03.2023 р. № 1/34/07-23 </w:t>
      </w:r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 зак</w:t>
      </w:r>
      <w:r w:rsidR="003063A2" w:rsidRPr="00897A72">
        <w:rPr>
          <w:rFonts w:ascii="Times New Roman" w:hAnsi="Times New Roman" w:cs="Times New Roman"/>
          <w:sz w:val="28"/>
          <w:szCs w:val="28"/>
          <w:lang w:val="uk-UA"/>
        </w:rPr>
        <w:t>ладу, які будуть працювати в 6 класі в наступному 2023-2024</w:t>
      </w:r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ознайомились на веб - сайті Інституту модернізації змісту освіти з електронними версіями фрагментів ор</w:t>
      </w:r>
      <w:r w:rsidR="003063A2" w:rsidRPr="00897A72">
        <w:rPr>
          <w:rFonts w:ascii="Times New Roman" w:hAnsi="Times New Roman" w:cs="Times New Roman"/>
          <w:sz w:val="28"/>
          <w:szCs w:val="28"/>
          <w:lang w:val="uk-UA"/>
        </w:rPr>
        <w:t>игінал-макетів підручників для 6</w:t>
      </w:r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 класу та здійснили безпосередній вибір </w:t>
      </w:r>
      <w:proofErr w:type="spellStart"/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453F30" w:rsidRPr="00897A7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</w:p>
    <w:p w:rsidR="00453F30" w:rsidRPr="00897A72" w:rsidRDefault="00453F30" w:rsidP="00453F3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</w:t>
      </w:r>
    </w:p>
    <w:p w:rsidR="00453F30" w:rsidRPr="00897A72" w:rsidRDefault="00453F30" w:rsidP="00453F3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1.1. Схвалити результати вибору електронних версій  ор</w:t>
      </w:r>
      <w:r w:rsidR="003063A2"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игінал-макетів підручників для 6</w:t>
      </w: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3074"/>
        <w:gridCol w:w="1050"/>
        <w:gridCol w:w="1335"/>
      </w:tblGrid>
      <w:tr w:rsidR="00453F30" w:rsidRPr="00897A72" w:rsidTr="00C6708F">
        <w:trPr>
          <w:trHeight w:val="135"/>
        </w:trPr>
        <w:tc>
          <w:tcPr>
            <w:tcW w:w="534" w:type="dxa"/>
            <w:vMerge w:val="restart"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074" w:type="dxa"/>
            <w:vMerge w:val="restart"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для</w:t>
            </w:r>
          </w:p>
        </w:tc>
      </w:tr>
      <w:tr w:rsidR="00453F30" w:rsidRPr="00897A72" w:rsidTr="00C6708F">
        <w:trPr>
          <w:trHeight w:val="135"/>
        </w:trPr>
        <w:tc>
          <w:tcPr>
            <w:tcW w:w="534" w:type="dxa"/>
            <w:vMerge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4" w:type="dxa"/>
            <w:vMerge/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453F30" w:rsidRPr="00897A72" w:rsidRDefault="00453F30" w:rsidP="00C67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(6</w:t>
            </w:r>
            <w:r w:rsidR="00453F30"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-й рік навчання) з </w:t>
            </w:r>
            <w:proofErr w:type="spellStart"/>
            <w:r w:rsidR="00453F30"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Мітчел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453F30" w:rsidRPr="00897A72" w:rsidRDefault="00453F30" w:rsidP="003063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063A2"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сторії України</w:t>
            </w:r>
            <w:r w:rsidR="003063A2"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Всесвітня історія</w:t>
            </w: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Хлібовська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Мелещенко Т.В.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Здоров’я, безпека та добробут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Воронцова Т.В.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Істер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074" w:type="dxa"/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Кондратова Л.Г.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3063A2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074" w:type="dxa"/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Запотоцький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074" w:type="dxa"/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53F30" w:rsidRPr="00897A72" w:rsidTr="00C6708F">
        <w:trPr>
          <w:trHeight w:val="281"/>
        </w:trPr>
        <w:tc>
          <w:tcPr>
            <w:tcW w:w="534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453F30" w:rsidRPr="00897A72" w:rsidRDefault="00453F30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074" w:type="dxa"/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Заболотний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53F30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5C49" w:rsidRPr="00897A72" w:rsidTr="00C6708F">
        <w:trPr>
          <w:trHeight w:val="281"/>
        </w:trPr>
        <w:tc>
          <w:tcPr>
            <w:tcW w:w="534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02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74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Біленко</w:t>
            </w:r>
            <w:proofErr w:type="spellEnd"/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5C49" w:rsidRPr="00897A72" w:rsidTr="00C6708F">
        <w:trPr>
          <w:trHeight w:val="281"/>
        </w:trPr>
        <w:tc>
          <w:tcPr>
            <w:tcW w:w="534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02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74" w:type="dxa"/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О.В.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215C49" w:rsidRPr="00897A72" w:rsidRDefault="00215C49" w:rsidP="00C67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53F30" w:rsidRPr="00897A72" w:rsidRDefault="00453F30" w:rsidP="00453F3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3F30" w:rsidRPr="00897A72" w:rsidRDefault="00453F30" w:rsidP="0045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Заповнити спеціальну форму вибору </w:t>
      </w:r>
      <w:proofErr w:type="spellStart"/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електроних</w:t>
      </w:r>
      <w:proofErr w:type="spellEnd"/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версій оригінал-макетів підручників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1F68CB" w:rsidRPr="00897A72" w:rsidRDefault="00453F30" w:rsidP="00453F30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1.4.</w:t>
      </w:r>
      <w:r w:rsidRPr="00897A72">
        <w:rPr>
          <w:sz w:val="28"/>
          <w:szCs w:val="28"/>
          <w:lang w:val="uk-UA"/>
        </w:rPr>
        <w:t xml:space="preserve"> </w:t>
      </w: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Оприлюднити на шкільному веб-сайті до 30 травня</w:t>
      </w:r>
      <w:r w:rsidR="00215C49"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</w:t>
      </w:r>
      <w:r w:rsidRP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 протокол педради за результатами відбору</w:t>
      </w:r>
      <w:r w:rsidR="0089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підручників.</w:t>
      </w:r>
    </w:p>
    <w:p w:rsidR="00497CA2" w:rsidRPr="00897A72" w:rsidRDefault="00215C49">
      <w:pPr>
        <w:rPr>
          <w:sz w:val="28"/>
          <w:szCs w:val="28"/>
          <w:lang w:val="uk-UA"/>
        </w:rPr>
      </w:pPr>
      <w:r w:rsidRPr="00897A72">
        <w:rPr>
          <w:sz w:val="28"/>
          <w:szCs w:val="28"/>
          <w:lang w:val="uk-UA"/>
        </w:rPr>
        <w:t>2.СЛУХАЛИ:</w:t>
      </w:r>
    </w:p>
    <w:p w:rsidR="00897A72" w:rsidRPr="00897A72" w:rsidRDefault="00897A72" w:rsidP="00897A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97A72">
        <w:rPr>
          <w:rFonts w:ascii="Times New Roman" w:hAnsi="Times New Roman" w:cs="Times New Roman"/>
          <w:sz w:val="28"/>
          <w:szCs w:val="28"/>
          <w:lang w:val="uk-UA"/>
        </w:rPr>
        <w:t>Директора Садову Р.Р.</w:t>
      </w:r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яка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наголосила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розвиток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суспільства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вимагає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покращення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а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це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неможливо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без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удосконалення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897A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Допомагати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підвищити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сформувати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довіру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гарантувати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нового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uk-UA"/>
          </w:rPr>
          <w:t xml:space="preserve">Закону «Про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uk-UA"/>
          </w:rPr>
          <w:t>освіту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  покликана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Державна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створена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Уряду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6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грудня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2017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року 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9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Державної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інспекції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навчальних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закладів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Законом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розпочався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2018 року.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Службу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Кабміном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14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березня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2018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року. ДСЯО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97A72" w:rsidRDefault="00897A72" w:rsidP="00897A72">
      <w:pPr>
        <w:numPr>
          <w:ilvl w:val="0"/>
          <w:numId w:val="2"/>
        </w:numPr>
        <w:shd w:val="clear" w:color="auto" w:fill="FFFFFF"/>
        <w:spacing w:before="280" w:after="0" w:line="240" w:lineRule="auto"/>
        <w:ind w:left="13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аудит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2"/>
        </w:numPr>
        <w:shd w:val="clear" w:color="auto" w:fill="FFFFFF"/>
        <w:spacing w:after="0" w:line="240" w:lineRule="auto"/>
        <w:ind w:left="13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функціонування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2"/>
        </w:numPr>
        <w:shd w:val="clear" w:color="auto" w:fill="FFFFFF"/>
        <w:spacing w:after="0" w:line="240" w:lineRule="auto"/>
        <w:ind w:left="13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акредитувати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2"/>
        </w:numPr>
        <w:shd w:val="clear" w:color="auto" w:fill="FFFFFF"/>
        <w:spacing w:after="0" w:line="240" w:lineRule="auto"/>
        <w:ind w:left="13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нетипові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2"/>
        </w:numPr>
        <w:shd w:val="clear" w:color="auto" w:fill="FFFFFF"/>
        <w:spacing w:after="24" w:line="240" w:lineRule="auto"/>
        <w:ind w:left="13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Інституційний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 на десять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 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ліцензійних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аудиту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того, Служба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 МОН про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аудиту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з'явився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 року.  </w:t>
      </w:r>
      <w:hyperlink r:id="rId13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Наказом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Державної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служби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якості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освіти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України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від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30.11.2020 № 04-11/70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було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затверджено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План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проведення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інституційних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аудитів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закладів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загальної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середньої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освіти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 xml:space="preserve"> у 2021 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shd w:val="clear" w:color="auto" w:fill="FFFFFF"/>
            <w:lang w:eastAsia="uk-UA"/>
          </w:rPr>
          <w:t>році</w:t>
        </w:r>
        <w:proofErr w:type="spellEnd"/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. </w:t>
      </w:r>
    </w:p>
    <w:p w:rsidR="00897A72" w:rsidRDefault="00897A72" w:rsidP="00897A72">
      <w:pPr>
        <w:shd w:val="clear" w:color="auto" w:fill="FFFFFF"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аудиту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97A72" w:rsidRDefault="00897A72" w:rsidP="00897A72">
      <w:pPr>
        <w:numPr>
          <w:ilvl w:val="0"/>
          <w:numId w:val="3"/>
        </w:numPr>
        <w:shd w:val="clear" w:color="auto" w:fill="FFFFFF"/>
        <w:spacing w:before="280"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3"/>
        </w:numPr>
        <w:shd w:val="clear" w:color="auto" w:fill="FFFFFF"/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3"/>
        </w:numPr>
        <w:shd w:val="clear" w:color="auto" w:fill="FFFFFF"/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7A72" w:rsidRDefault="00897A72" w:rsidP="00897A72">
      <w:pPr>
        <w:numPr>
          <w:ilvl w:val="0"/>
          <w:numId w:val="3"/>
        </w:numPr>
        <w:shd w:val="clear" w:color="auto" w:fill="FFFFFF"/>
        <w:spacing w:after="28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42 (ч. 2) Закону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 прописано,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методичними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рекомендаціями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центрального органу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формує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внутрішню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побудови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ВСЗЯО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закладах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розробила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Державна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Усім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знайома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Абетка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для директора» – є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незамінним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путівником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побудові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ВСЗЯО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і як результат – при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плануванні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Ми   провели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опитування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ознайомилися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індикаторами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управлінських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», методами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збору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пропонує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Державна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обрати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(початкова,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опорного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анкетування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колектив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  </w:t>
      </w:r>
      <w:proofErr w:type="spellStart"/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стануть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Стратегії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закладу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Річний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  буде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складений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 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ЗЗСО,  буде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деталізувати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Стратегію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закладу 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визначатиме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кроки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проблемних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897A72" w:rsidRDefault="00897A72" w:rsidP="00897A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показали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позитивні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негативні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нашого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допомогли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Опитування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анонімний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характер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отримані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використали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узагальненому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Заслухавши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та обговоривши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доповідь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директора  закладу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Садової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педагогічна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рада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УХВАЛИЛА: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рiчного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2023 -2024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плану)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взаємооцінювання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методична рада); 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 </w:t>
      </w:r>
    </w:p>
    <w:p w:rsidR="00897A72" w:rsidRDefault="00897A72" w:rsidP="00897A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квалiфiкацiї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</w:p>
    <w:p w:rsidR="00897A72" w:rsidRDefault="00897A72">
      <w:pPr>
        <w:rPr>
          <w:sz w:val="28"/>
          <w:szCs w:val="28"/>
          <w:lang w:val="uk-UA"/>
        </w:rPr>
      </w:pPr>
    </w:p>
    <w:p w:rsidR="00897A72" w:rsidRDefault="00897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Голова педради:                       /Оксана ГУТ/</w:t>
      </w:r>
    </w:p>
    <w:p w:rsidR="00897A72" w:rsidRPr="00215C49" w:rsidRDefault="00897A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Секретар:                          /  Юл</w:t>
      </w:r>
      <w:bookmarkStart w:id="0" w:name="_GoBack"/>
      <w:bookmarkEnd w:id="0"/>
      <w:r>
        <w:rPr>
          <w:sz w:val="28"/>
          <w:szCs w:val="28"/>
          <w:lang w:val="uk-UA"/>
        </w:rPr>
        <w:t>я БАЛА/</w:t>
      </w:r>
    </w:p>
    <w:sectPr w:rsidR="00897A72" w:rsidRPr="00215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A9A"/>
    <w:multiLevelType w:val="multilevel"/>
    <w:tmpl w:val="A8D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30D7A"/>
    <w:multiLevelType w:val="multilevel"/>
    <w:tmpl w:val="5D36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8370E"/>
    <w:multiLevelType w:val="multilevel"/>
    <w:tmpl w:val="B90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6"/>
    <w:rsid w:val="001F68CB"/>
    <w:rsid w:val="00215C49"/>
    <w:rsid w:val="003063A2"/>
    <w:rsid w:val="00453F30"/>
    <w:rsid w:val="00497CA2"/>
    <w:rsid w:val="00897A72"/>
    <w:rsid w:val="00A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1E6"/>
  <w15:chartTrackingRefBased/>
  <w15:docId w15:val="{1D6583BB-85FE-4E14-9606-E3303DD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5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B56"/>
    <w:rPr>
      <w:color w:val="0000FF"/>
      <w:u w:val="single"/>
    </w:rPr>
  </w:style>
  <w:style w:type="paragraph" w:styleId="a4">
    <w:name w:val="No Spacing"/>
    <w:uiPriority w:val="1"/>
    <w:qFormat/>
    <w:rsid w:val="00AA6B56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453F3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2017" TargetMode="External"/><Relationship Id="rId13" Type="http://schemas.openxmlformats.org/officeDocument/2006/relationships/hyperlink" Target="https://znayshov.com/FR/5606/nakaz_01_11_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6_%D0%B3%D1%80%D1%83%D0%B4%D0%BD%D1%8F" TargetMode="External"/><Relationship Id="rId12" Type="http://schemas.openxmlformats.org/officeDocument/2006/relationships/hyperlink" Target="https://uk.wikipedia.org/wiki/%D0%90%D1%83%D0%B4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1%80%D1%8F%D0%B4_%D0%92%D0%BE%D0%BB%D0%BE%D0%B4%D0%B8%D0%BC%D0%B8%D1%80%D0%B0_%D0%93%D1%80%D0%BE%D0%B9%D1%81%D0%BC%D0%B0%D0%BD%D0%B0" TargetMode="External"/><Relationship Id="rId11" Type="http://schemas.openxmlformats.org/officeDocument/2006/relationships/hyperlink" Target="https://uk.wikipedia.org/wiki/2018" TargetMode="External"/><Relationship Id="rId5" Type="http://schemas.openxmlformats.org/officeDocument/2006/relationships/hyperlink" Target="https://uk.wikipedia.org/wiki/%D0%97%D0%B0%D0%BA%D0%BE%D0%BD_%D0%A3%D0%BA%D1%80%D0%B0%D1%97%D0%BD%D0%B8_%C2%AB%D0%9F%D1%80%D0%BE_%D0%BE%D1%81%D0%B2%D1%96%D1%82%D1%83%C2%BB_(2017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14_%D0%B1%D0%B5%D1%80%D0%B5%D0%B7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1%80%D0%B6%D0%B0%D0%B2%D0%BD%D0%B0_%D1%96%D0%BD%D1%81%D0%BF%D0%B5%D0%BA%D1%86%D1%96%D1%8F_%D0%BD%D0%B0%D0%B2%D1%87%D0%B0%D0%BB%D1%8C%D0%BD%D0%B8%D1%85_%D0%B7%D0%B0%D0%BA%D0%BB%D0%B0%D0%B4%D1%96%D0%B2_%D0%A3%D0%BA%D1%80%D0%B0%D1%97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5582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2023-03-28T10:19:00Z</dcterms:created>
  <dcterms:modified xsi:type="dcterms:W3CDTF">2023-04-14T06:51:00Z</dcterms:modified>
</cp:coreProperties>
</file>