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A256C" w:rsidRPr="00BA256C">
        <w:rPr>
          <w:rFonts w:ascii="Times New Roman" w:hAnsi="Times New Roman" w:cs="Times New Roman"/>
          <w:sz w:val="28"/>
          <w:szCs w:val="28"/>
          <w:lang w:val="uk-UA"/>
        </w:rPr>
        <w:t>Проміжки зростання і спадання функції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BA256C" w:rsidRPr="00BA256C">
        <w:rPr>
          <w:rFonts w:ascii="Times New Roman" w:hAnsi="Times New Roman" w:cs="Times New Roman"/>
          <w:sz w:val="28"/>
          <w:szCs w:val="28"/>
          <w:lang w:val="uk-UA"/>
        </w:rPr>
        <w:t>Опрацювати п.9 с.78-83.Таблицю на с.83 записати в зошит, виконати 364,373(1) с.84,85.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BA256C" w:rsidRPr="00131B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https://youtu.be/DAsj8OpAZqo</w:t>
        </w:r>
      </w:hyperlink>
      <w:r w:rsidR="00BA2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A23C17"/>
    <w:rsid w:val="00B4311A"/>
    <w:rsid w:val="00BA256C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64F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Asj8OpAZ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2021-10-26T15:09:00Z</dcterms:created>
  <dcterms:modified xsi:type="dcterms:W3CDTF">2021-11-09T15:58:00Z</dcterms:modified>
</cp:coreProperties>
</file>