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6F2" w:rsidRPr="00080EA8" w:rsidRDefault="00F646F2" w:rsidP="00F64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sz w:val="28"/>
          <w:szCs w:val="28"/>
        </w:rPr>
        <w:t>14.02.2022</w:t>
      </w:r>
    </w:p>
    <w:p w:rsidR="00F646F2" w:rsidRPr="00080EA8" w:rsidRDefault="00F646F2" w:rsidP="00F64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080E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09.15.</w:t>
      </w:r>
    </w:p>
    <w:p w:rsidR="00F646F2" w:rsidRPr="00080EA8" w:rsidRDefault="00F646F2" w:rsidP="00F64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="00080EA8" w:rsidRPr="00080E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qqe</w:t>
      </w:r>
      <w:proofErr w:type="spellEnd"/>
      <w:r w:rsidR="00080EA8" w:rsidRPr="00080E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="00080EA8" w:rsidRPr="00080E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bvza</w:t>
      </w:r>
      <w:proofErr w:type="spellEnd"/>
      <w:r w:rsidR="00080EA8" w:rsidRPr="00080E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-</w:t>
      </w:r>
      <w:proofErr w:type="spellStart"/>
      <w:r w:rsidR="00080EA8" w:rsidRPr="00080EA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vcg</w:t>
      </w:r>
      <w:proofErr w:type="spellEnd"/>
    </w:p>
    <w:p w:rsidR="00F646F2" w:rsidRPr="00080EA8" w:rsidRDefault="00F646F2" w:rsidP="00F64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</w:p>
    <w:p w:rsidR="00080EA8" w:rsidRPr="00080EA8" w:rsidRDefault="00080EA8" w:rsidP="00080EA8">
      <w:pPr>
        <w:pStyle w:val="1"/>
        <w:shd w:val="clear" w:color="auto" w:fill="FFFFFF"/>
        <w:spacing w:before="0" w:after="225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Тема: </w:t>
      </w:r>
      <w:r w:rsidRPr="00080EA8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uk-UA"/>
        </w:rPr>
        <w:t xml:space="preserve">Микола Гоголь.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uk-UA"/>
        </w:rPr>
        <w:t xml:space="preserve">Історична повість </w:t>
      </w:r>
      <w:r w:rsidRPr="00080EA8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uk-UA"/>
        </w:rPr>
        <w:t>«Тарас Бульба». Сюжет, образ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uk-UA"/>
        </w:rPr>
        <w:t>и твору</w:t>
      </w:r>
    </w:p>
    <w:p w:rsidR="00F646F2" w:rsidRPr="00080EA8" w:rsidRDefault="00F646F2" w:rsidP="00F64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</w:p>
    <w:p w:rsidR="00080EA8" w:rsidRPr="00080EA8" w:rsidRDefault="00080EA8" w:rsidP="00080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 xml:space="preserve">Опрацювати матеріал </w:t>
      </w:r>
      <w:proofErr w:type="spellStart"/>
      <w:r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стор</w:t>
      </w:r>
      <w:proofErr w:type="spellEnd"/>
      <w:r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. 188-190.</w:t>
      </w:r>
    </w:p>
    <w:p w:rsidR="00080EA8" w:rsidRPr="00080EA8" w:rsidRDefault="00080EA8" w:rsidP="00080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Прочитати:</w:t>
      </w:r>
    </w:p>
    <w:p w:rsidR="00F646F2" w:rsidRPr="00080EA8" w:rsidRDefault="00F646F2" w:rsidP="00080EA8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080EA8"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«Тарас Бульба». Історія написання</w:t>
      </w:r>
    </w:p>
    <w:p w:rsidR="00F646F2" w:rsidRPr="00F646F2" w:rsidRDefault="00F646F2" w:rsidP="00F646F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Повість «Тарас Бульба»  має складну творчу історію. Твір був уперше надрукований в 1835 році в збірці «Миргород». А у 1842 році в другому томі своїх «Творів» Гоголь помістив «Тараса Бульбу» у новій, докорінно переробленій редакції. Тобто робота над повістю тривала майже 9 років –  з 1833-го року до 1842.</w:t>
      </w:r>
    </w:p>
    <w:p w:rsidR="00F646F2" w:rsidRPr="00F646F2" w:rsidRDefault="00F646F2" w:rsidP="00F646F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Як вважають літературознавці, «миргородська» редакція «Тараса Бульби» являла собою багато в чому ще незрілий добуток. Схематично обкреслені образи, не розгорнуті конфлікти, стилістична недовершеність – все це мало потребу в істотній доробці. Друга редакція «Тараса Бульби» створювалася одночасно з роботою Гоголя над першим томом «Мертвих душ», тобто в період найбільшої ідейно-художньої зрілості письменника. Ця редакція стала глибшою за ідеєю, своєму демократичному пафосу, досконалішою в художнім відношенні.</w:t>
      </w:r>
    </w:p>
    <w:p w:rsidR="00F646F2" w:rsidRPr="00F646F2" w:rsidRDefault="00F646F2" w:rsidP="00F646F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Змін зазнав і обсяг твору: перша редакція містила усього 9 розділів, друга – 12, отже з’явилися нові персонажі, конфлікти, ситуації. Істотно збагатилося історико-побутове тло твору, були уведені нові подробиці в описі Січі, боїв, заново написана сцена виборів кошового, набагато розширена картина облоги Дубно тощо. </w:t>
      </w:r>
    </w:p>
    <w:p w:rsidR="00080EA8" w:rsidRPr="00080EA8" w:rsidRDefault="00080EA8" w:rsidP="00080EA8">
      <w:pPr>
        <w:pStyle w:val="a4"/>
        <w:numPr>
          <w:ilvl w:val="0"/>
          <w:numId w:val="4"/>
        </w:numPr>
        <w:rPr>
          <w:rStyle w:val="a3"/>
          <w:rFonts w:ascii="Verdana" w:hAnsi="Verdana"/>
          <w:i w:val="0"/>
          <w:iCs w:val="0"/>
          <w:color w:val="2C2F34"/>
          <w:sz w:val="21"/>
          <w:szCs w:val="21"/>
          <w:shd w:val="clear" w:color="auto" w:fill="FFFFFF"/>
        </w:rPr>
      </w:pPr>
      <w:r>
        <w:rPr>
          <w:rStyle w:val="a3"/>
          <w:rFonts w:ascii="Verdana" w:hAnsi="Verdana"/>
          <w:b/>
          <w:bCs/>
          <w:color w:val="2C2F34"/>
          <w:sz w:val="21"/>
          <w:szCs w:val="21"/>
          <w:bdr w:val="none" w:sz="0" w:space="0" w:color="auto" w:frame="1"/>
          <w:shd w:val="clear" w:color="auto" w:fill="FFFFFF"/>
        </w:rPr>
        <w:t>Записати в зошит:</w:t>
      </w:r>
    </w:p>
    <w:p w:rsidR="00F646F2" w:rsidRPr="00080EA8" w:rsidRDefault="00F646F2" w:rsidP="00080EA8">
      <w:pPr>
        <w:pStyle w:val="a4"/>
        <w:rPr>
          <w:rFonts w:ascii="Verdana" w:hAnsi="Verdana"/>
          <w:color w:val="2C2F34"/>
          <w:sz w:val="21"/>
          <w:szCs w:val="21"/>
          <w:shd w:val="clear" w:color="auto" w:fill="FFFFFF"/>
        </w:rPr>
      </w:pPr>
      <w:r w:rsidRPr="00080EA8">
        <w:rPr>
          <w:rStyle w:val="a3"/>
          <w:rFonts w:ascii="Verdana" w:hAnsi="Verdana"/>
          <w:b/>
          <w:bCs/>
          <w:color w:val="C00000"/>
          <w:sz w:val="21"/>
          <w:szCs w:val="21"/>
          <w:bdr w:val="none" w:sz="0" w:space="0" w:color="auto" w:frame="1"/>
          <w:shd w:val="clear" w:color="auto" w:fill="FFFFFF"/>
        </w:rPr>
        <w:t>Історична повість</w:t>
      </w:r>
      <w:r w:rsidRPr="00080EA8">
        <w:rPr>
          <w:rFonts w:ascii="Verdana" w:hAnsi="Verdana"/>
          <w:color w:val="C00000"/>
          <w:sz w:val="21"/>
          <w:szCs w:val="21"/>
          <w:shd w:val="clear" w:color="auto" w:fill="FFFFFF"/>
        </w:rPr>
        <w:t> </w:t>
      </w:r>
      <w:r w:rsidRPr="00080EA8">
        <w:rPr>
          <w:rFonts w:ascii="Verdana" w:hAnsi="Verdana"/>
          <w:color w:val="2C2F34"/>
          <w:sz w:val="21"/>
          <w:szCs w:val="21"/>
          <w:shd w:val="clear" w:color="auto" w:fill="FFFFFF"/>
        </w:rPr>
        <w:t>– великий за обсягом епічний твір, який характеризується однолінійним сюжетом та  відтворює у художній формі певну історичну епоху.</w:t>
      </w:r>
    </w:p>
    <w:p w:rsidR="00F646F2" w:rsidRPr="00F646F2" w:rsidRDefault="00F646F2" w:rsidP="00F646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C00000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b/>
          <w:bCs/>
          <w:i/>
          <w:iCs/>
          <w:color w:val="C00000"/>
          <w:sz w:val="21"/>
          <w:szCs w:val="21"/>
          <w:bdr w:val="none" w:sz="0" w:space="0" w:color="auto" w:frame="1"/>
          <w:lang w:eastAsia="uk-UA"/>
        </w:rPr>
        <w:t>Основні риси історичної повісті:</w:t>
      </w:r>
    </w:p>
    <w:p w:rsidR="00F646F2" w:rsidRP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епічний жанр;</w:t>
      </w:r>
    </w:p>
    <w:p w:rsidR="00F646F2" w:rsidRP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опора на історичне джерело;</w:t>
      </w:r>
    </w:p>
    <w:p w:rsidR="00F646F2" w:rsidRP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поєднання історичних фактів з художнім вимислом;</w:t>
      </w:r>
    </w:p>
    <w:p w:rsidR="00F646F2" w:rsidRP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герої: історичні та вигадані особи;</w:t>
      </w:r>
    </w:p>
    <w:p w:rsidR="00F646F2" w:rsidRP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об’єктивне зображення історичних подій;</w:t>
      </w:r>
    </w:p>
    <w:p w:rsidR="00F646F2" w:rsidRDefault="00F646F2" w:rsidP="00F646F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F646F2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>мова оповіді наближена до епохи автора.</w:t>
      </w:r>
    </w:p>
    <w:p w:rsidR="00080EA8" w:rsidRPr="00080EA8" w:rsidRDefault="00080EA8" w:rsidP="00080EA8">
      <w:pPr>
        <w:pStyle w:val="a4"/>
        <w:numPr>
          <w:ilvl w:val="0"/>
          <w:numId w:val="4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</w:pPr>
      <w:r w:rsidRPr="00080EA8">
        <w:rPr>
          <w:rFonts w:ascii="Verdana" w:eastAsia="Times New Roman" w:hAnsi="Verdana" w:cs="Times New Roman"/>
          <w:b/>
          <w:bCs/>
          <w:color w:val="2C2F34"/>
          <w:sz w:val="21"/>
          <w:szCs w:val="21"/>
          <w:lang w:eastAsia="uk-UA"/>
        </w:rPr>
        <w:t>Визначити сюжетно-композиційні елементи твору:</w:t>
      </w:r>
    </w:p>
    <w:tbl>
      <w:tblPr>
        <w:tblW w:w="117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9508"/>
      </w:tblGrid>
      <w:tr w:rsidR="00F646F2" w:rsidRPr="00F646F2" w:rsidTr="00F646F2">
        <w:trPr>
          <w:tblCellSpacing w:w="15" w:type="dxa"/>
        </w:trPr>
        <w:tc>
          <w:tcPr>
            <w:tcW w:w="21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  <w:t>Експозиція</w:t>
            </w:r>
          </w:p>
        </w:tc>
        <w:tc>
          <w:tcPr>
            <w:tcW w:w="94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  <w:t>Зустріч Тарасом Бульбою синів, що приїхали з бурси</w:t>
            </w:r>
          </w:p>
        </w:tc>
      </w:tr>
      <w:tr w:rsidR="00F646F2" w:rsidRPr="00F646F2" w:rsidTr="00080EA8">
        <w:trPr>
          <w:tblCellSpacing w:w="15" w:type="dxa"/>
        </w:trPr>
        <w:tc>
          <w:tcPr>
            <w:tcW w:w="21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  <w:t>Зав’язка</w:t>
            </w:r>
          </w:p>
        </w:tc>
        <w:tc>
          <w:tcPr>
            <w:tcW w:w="94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</w:pPr>
          </w:p>
        </w:tc>
      </w:tr>
      <w:tr w:rsidR="00F646F2" w:rsidRPr="00F646F2" w:rsidTr="00080EA8">
        <w:trPr>
          <w:tblCellSpacing w:w="15" w:type="dxa"/>
        </w:trPr>
        <w:tc>
          <w:tcPr>
            <w:tcW w:w="21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  <w:t>Розвиток дії</w:t>
            </w:r>
          </w:p>
        </w:tc>
        <w:tc>
          <w:tcPr>
            <w:tcW w:w="94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F646F2" w:rsidRPr="00F646F2" w:rsidRDefault="00F646F2" w:rsidP="00F646F2">
            <w:pPr>
              <w:spacing w:after="0" w:line="240" w:lineRule="auto"/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</w:pPr>
          </w:p>
        </w:tc>
      </w:tr>
      <w:tr w:rsidR="00080EA8" w:rsidRPr="00F646F2" w:rsidTr="00080EA8">
        <w:trPr>
          <w:tblCellSpacing w:w="15" w:type="dxa"/>
        </w:trPr>
        <w:tc>
          <w:tcPr>
            <w:tcW w:w="21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80EA8" w:rsidRPr="00F646F2" w:rsidRDefault="00080EA8" w:rsidP="00080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  <w:t>Кульмінація</w:t>
            </w:r>
          </w:p>
        </w:tc>
        <w:tc>
          <w:tcPr>
            <w:tcW w:w="94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80EA8" w:rsidRPr="00F646F2" w:rsidRDefault="00080EA8" w:rsidP="00080EA8">
            <w:pPr>
              <w:spacing w:after="0" w:line="240" w:lineRule="auto"/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</w:pPr>
          </w:p>
        </w:tc>
      </w:tr>
      <w:tr w:rsidR="00080EA8" w:rsidRPr="00F646F2" w:rsidTr="00080EA8">
        <w:trPr>
          <w:tblCellSpacing w:w="15" w:type="dxa"/>
        </w:trPr>
        <w:tc>
          <w:tcPr>
            <w:tcW w:w="21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80EA8" w:rsidRDefault="00080EA8" w:rsidP="00080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  <w:r w:rsidRPr="00F646F2"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  <w:t>Розв’язка</w:t>
            </w:r>
          </w:p>
          <w:p w:rsidR="00080EA8" w:rsidRPr="00F646F2" w:rsidRDefault="00080EA8" w:rsidP="00080E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2F34"/>
                <w:sz w:val="21"/>
                <w:szCs w:val="21"/>
                <w:lang w:eastAsia="uk-UA"/>
              </w:rPr>
            </w:pPr>
          </w:p>
        </w:tc>
        <w:tc>
          <w:tcPr>
            <w:tcW w:w="94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80EA8" w:rsidRPr="00F646F2" w:rsidRDefault="00080EA8" w:rsidP="00080EA8">
            <w:pPr>
              <w:spacing w:after="0" w:line="240" w:lineRule="auto"/>
              <w:rPr>
                <w:rFonts w:ascii="Verdana" w:eastAsia="Times New Roman" w:hAnsi="Verdana" w:cs="Times New Roman"/>
                <w:color w:val="2C2F34"/>
                <w:sz w:val="21"/>
                <w:szCs w:val="21"/>
                <w:lang w:eastAsia="uk-UA"/>
              </w:rPr>
            </w:pPr>
          </w:p>
        </w:tc>
      </w:tr>
    </w:tbl>
    <w:p w:rsidR="00080EA8" w:rsidRPr="00080EA8" w:rsidRDefault="00080EA8" w:rsidP="00080EA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>
        <w:rPr>
          <w:rFonts w:ascii="Verdana" w:eastAsia="Times New Roman" w:hAnsi="Verdana" w:cs="Times New Roman"/>
          <w:b/>
          <w:bCs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Накреслити таблицю в зошит:</w:t>
      </w:r>
    </w:p>
    <w:p w:rsidR="00F646F2" w:rsidRPr="00080EA8" w:rsidRDefault="00F646F2" w:rsidP="00080EA8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</w:pPr>
      <w:r w:rsidRPr="00080EA8">
        <w:rPr>
          <w:rFonts w:ascii="Verdana" w:eastAsia="Times New Roman" w:hAnsi="Verdana" w:cs="Times New Roman"/>
          <w:b/>
          <w:bCs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Позитивні та негативні риси Тараса Бульби</w:t>
      </w:r>
    </w:p>
    <w:tbl>
      <w:tblPr>
        <w:tblW w:w="117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3"/>
        <w:gridCol w:w="5517"/>
      </w:tblGrid>
      <w:tr w:rsidR="00F646F2" w:rsidRPr="00F646F2" w:rsidTr="00F646F2">
        <w:trPr>
          <w:tblCellSpacing w:w="15" w:type="dxa"/>
        </w:trPr>
        <w:tc>
          <w:tcPr>
            <w:tcW w:w="52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Позитивні риси</w:t>
            </w:r>
          </w:p>
        </w:tc>
        <w:tc>
          <w:tcPr>
            <w:tcW w:w="46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Негативні риси</w:t>
            </w:r>
          </w:p>
        </w:tc>
      </w:tr>
      <w:tr w:rsidR="00F646F2" w:rsidRPr="00F646F2" w:rsidTr="00F646F2">
        <w:trPr>
          <w:tblCellSpacing w:w="15" w:type="dxa"/>
        </w:trPr>
        <w:tc>
          <w:tcPr>
            <w:tcW w:w="525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Досвідчений козацький ватажок</w:t>
            </w:r>
          </w:p>
          <w:p w:rsidR="00F646F2" w:rsidRPr="00F646F2" w:rsidRDefault="00F646F2" w:rsidP="00F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Хоробрий воїн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Вольовий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Справедливий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Релігійний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Суворий вдачею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Фізично і морально сильний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Розумний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Мудрий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Активний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Щедрий душею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Надзвичайний простотою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Ненависний до ворогів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Патріот</w:t>
            </w:r>
            <w:r w:rsidRPr="00F646F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Товариський</w:t>
            </w:r>
          </w:p>
        </w:tc>
        <w:tc>
          <w:tcPr>
            <w:tcW w:w="468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46F2" w:rsidRPr="00F646F2" w:rsidRDefault="00F646F2" w:rsidP="00F6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Грубий прямотою</w:t>
            </w: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Різкий</w:t>
            </w: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Впертий</w:t>
            </w: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Запальний</w:t>
            </w:r>
            <w:r w:rsidRPr="00F64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Жорстокий</w:t>
            </w:r>
          </w:p>
        </w:tc>
      </w:tr>
    </w:tbl>
    <w:p w:rsidR="00F646F2" w:rsidRPr="00080EA8" w:rsidRDefault="00080EA8" w:rsidP="00080EA8">
      <w:pPr>
        <w:pStyle w:val="a4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b/>
          <w:bCs/>
          <w:sz w:val="28"/>
          <w:szCs w:val="28"/>
        </w:rPr>
        <w:t>Домашнє завдання:</w:t>
      </w:r>
      <w:r w:rsidRPr="00080EA8">
        <w:rPr>
          <w:rFonts w:ascii="Times New Roman" w:hAnsi="Times New Roman" w:cs="Times New Roman"/>
          <w:sz w:val="28"/>
          <w:szCs w:val="28"/>
        </w:rPr>
        <w:t xml:space="preserve"> 1)опрацювати стор.188-190;</w:t>
      </w:r>
    </w:p>
    <w:p w:rsidR="00080EA8" w:rsidRPr="00080EA8" w:rsidRDefault="00080EA8" w:rsidP="00080EA8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sz w:val="28"/>
          <w:szCs w:val="28"/>
        </w:rPr>
        <w:t>2) виконати завдання  4-10 (усно) , завдання 12 (письмово);</w:t>
      </w:r>
    </w:p>
    <w:p w:rsidR="00080EA8" w:rsidRPr="00080EA8" w:rsidRDefault="00080EA8" w:rsidP="00080EA8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 w:rsidRPr="00080EA8">
        <w:rPr>
          <w:rFonts w:ascii="Times New Roman" w:hAnsi="Times New Roman" w:cs="Times New Roman"/>
          <w:sz w:val="28"/>
          <w:szCs w:val="28"/>
        </w:rPr>
        <w:t>3) скласти план по</w:t>
      </w:r>
      <w:bookmarkStart w:id="0" w:name="_GoBack"/>
      <w:bookmarkEnd w:id="0"/>
      <w:r w:rsidRPr="00080EA8">
        <w:rPr>
          <w:rFonts w:ascii="Times New Roman" w:hAnsi="Times New Roman" w:cs="Times New Roman"/>
          <w:sz w:val="28"/>
          <w:szCs w:val="28"/>
        </w:rPr>
        <w:t>рівняльної характеристики Остапа та Андрія.</w:t>
      </w:r>
    </w:p>
    <w:sectPr w:rsidR="00080EA8" w:rsidRPr="00080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401"/>
    <w:multiLevelType w:val="multilevel"/>
    <w:tmpl w:val="17F0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1F3A"/>
    <w:multiLevelType w:val="hybridMultilevel"/>
    <w:tmpl w:val="9AFC63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4C1E"/>
    <w:multiLevelType w:val="multilevel"/>
    <w:tmpl w:val="E1B2F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07FD4"/>
    <w:multiLevelType w:val="multilevel"/>
    <w:tmpl w:val="97C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F2"/>
    <w:rsid w:val="00080EA8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4793"/>
  <w15:chartTrackingRefBased/>
  <w15:docId w15:val="{88D05241-DAED-42C3-9498-3A9E7712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46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2022-02-14T06:34:00Z</dcterms:created>
  <dcterms:modified xsi:type="dcterms:W3CDTF">2022-02-14T06:54:00Z</dcterms:modified>
</cp:coreProperties>
</file>