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9A" w:rsidRPr="00D05730" w:rsidRDefault="00D05730">
      <w:pPr>
        <w:rPr>
          <w:lang w:val="uk-UA"/>
        </w:rPr>
      </w:pPr>
      <w:r>
        <w:rPr>
          <w:lang w:val="uk-UA"/>
        </w:rPr>
        <w:t>Повторити п. 36 – 39 .Відповісти на запитання «За допомогою яких якісних реакцій можна розпізнати сахарозу,глюкозу,крохмаль»</w:t>
      </w:r>
      <w:bookmarkStart w:id="0" w:name="_GoBack"/>
      <w:bookmarkEnd w:id="0"/>
      <w:r>
        <w:rPr>
          <w:lang w:val="uk-UA"/>
        </w:rPr>
        <w:t>.(писмово).</w:t>
      </w:r>
    </w:p>
    <w:sectPr w:rsidR="00D31F9A" w:rsidRPr="00D0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30"/>
    <w:rsid w:val="00D05730"/>
    <w:rsid w:val="00D3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EEC88-26C8-4853-B27B-48AAE332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2021-04-18T10:23:00Z</dcterms:created>
  <dcterms:modified xsi:type="dcterms:W3CDTF">2021-04-18T10:31:00Z</dcterms:modified>
</cp:coreProperties>
</file>