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65" w:rsidRPr="000F40EC" w:rsidRDefault="000F40EC">
      <w:pPr>
        <w:rPr>
          <w:lang w:val="uk-UA"/>
        </w:rPr>
      </w:pPr>
      <w:r>
        <w:t>Н</w:t>
      </w:r>
      <w:r>
        <w:rPr>
          <w:lang w:val="uk-UA"/>
        </w:rPr>
        <w:t>ітрогеновмісні органічні сполуки . Поняття про амінокислоти . Опрацювати п. 39 , вивчити поняття , вміти записувати структурні та напівструктурні формули етанової кислоти . Вивчити фізичні властивості етанової кислоти .</w:t>
      </w:r>
      <w:bookmarkStart w:id="0" w:name="_GoBack"/>
      <w:bookmarkEnd w:id="0"/>
    </w:p>
    <w:sectPr w:rsidR="00AA3F65" w:rsidRPr="000F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EC"/>
    <w:rsid w:val="000F40EC"/>
    <w:rsid w:val="00A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D486-DCF6-4853-946F-95621BC7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2021-03-27T14:51:00Z</dcterms:created>
  <dcterms:modified xsi:type="dcterms:W3CDTF">2021-03-27T14:58:00Z</dcterms:modified>
</cp:coreProperties>
</file>