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Н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ормативно-правова база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Попередження насильства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1. Закон України «</w:t>
      </w:r>
      <w:hyperlink r:id="rId2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 запобігання та протидію домашньому насильству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 №2229 від 7 грудня 2017 року.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2. Порядок взаємодії суб’єктів, що здійснюють заходи у сфері запобігання та протидії домашньому насильству  і  насильству за ознакою статті затвердженого </w:t>
      </w:r>
      <w:hyperlink r:id="rId3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постановою Кабінету Міністрів України від 22.08.2018 №658</w:t>
        </w:r>
      </w:hyperlink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  <w:shd w:fill="FFFFFF" w:val="clear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(п.39-41).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3. Наказ МОН України «</w:t>
      </w:r>
      <w:hyperlink r:id="rId4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 від 02.10.2018 №1047.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4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 Лист МОН України від  07.08.2018 №1/9-486 «</w:t>
      </w:r>
      <w:hyperlink r:id="rId5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 деякі питання організації в закладах освіти виховної роботи щодо безпеки й благополуччя дитини у 2018/2019 навчальному році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5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 Лист Міністерства соціальної політики України від 29.12.2018 №27/0/2-19/57 «Про постанову Кабінету Міністрів України від 03.10.2018 №800» та методичні рекомендації щодо реалізації постанови Кабінету Міністрів України «</w:t>
      </w:r>
      <w:hyperlink r:id="rId6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Деякі питання соціального захисту дітей, які перебувають у складних життєвих обставинах, у тому числі таких, що можуть загрожувати їх життю та здоров’ю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 від 03.10.2018 №800 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6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 Спільний наказ Міністерства соціальної політки України, Міністерства внутрішніх справ України, Міністерства освіти і науки України, Міністерства охорони здоров’я України від 19.08.2014 №564/836/945/577 «</w:t>
      </w:r>
      <w:hyperlink r:id="rId7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 затвердження Порядку розгляду звернень та повідомлень з приводу жорстокого поводження з дітьми або загрози його вчинення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 - (форма повідомлення)</w:t>
      </w:r>
    </w:p>
    <w:p>
      <w:pPr>
        <w:pStyle w:val="Style18"/>
        <w:bidi w:val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Булінг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1. Закон України «</w:t>
      </w:r>
      <w:hyperlink r:id="rId8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  внесення змін до деяких законодавчих актів України щодо протидії булінгу (цькування)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 від 18 грудня 2018 року №2657 –VІІІ»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2. Лист МОН України від 29.01.2019 № 1/9-881 «</w:t>
      </w:r>
      <w:hyperlink r:id="rId9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Рекомендації для закладів освіти щодо застосування норм Закону України «Про  внесення змін до деяких законодавчих актів України щодо протидії булінгу (цькування)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 від 18 грудня 2018 року №2637 –VІІІ»  (управлінський та просвітницький підхід).</w:t>
      </w:r>
    </w:p>
    <w:p>
      <w:pPr>
        <w:pStyle w:val="Style18"/>
        <w:bidi w:val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Профілактика правопорушень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1. Лист МОНУ України від 28.01.2019 №1/9-849 «Щодо профілактики кримінальних правопорушень серед неповнолітніх».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2.  Постанова Кабінету Міністрів України від 13.09.2017 р. №684  "</w:t>
      </w:r>
      <w:hyperlink r:id="rId10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 затвердження порядку ведення обліку дітей шкільного віку та учнів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"</w:t>
      </w:r>
    </w:p>
    <w:p>
      <w:pPr>
        <w:pStyle w:val="Style18"/>
        <w:bidi w:val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Алгоритм дій при виявленні випадків булінгу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150" w:leader="none"/>
        </w:tabs>
        <w:bidi w:val="0"/>
        <w:spacing w:before="0" w:after="0"/>
        <w:ind w:start="150" w:end="15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Заява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150" w:leader="none"/>
        </w:tabs>
        <w:bidi w:val="0"/>
        <w:spacing w:before="0" w:after="0"/>
        <w:ind w:start="150" w:end="15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Наказ про створення комісії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150" w:leader="none"/>
        </w:tabs>
        <w:bidi w:val="0"/>
        <w:spacing w:before="0" w:after="0"/>
        <w:ind w:start="150" w:end="15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Протокол з рішенням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150" w:leader="none"/>
        </w:tabs>
        <w:bidi w:val="0"/>
        <w:spacing w:before="0" w:after="0"/>
        <w:ind w:start="150" w:end="15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Заходи реагування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150" w:leader="none"/>
        </w:tabs>
        <w:bidi w:val="0"/>
        <w:spacing w:before="0" w:after="0"/>
        <w:ind w:start="150" w:end="15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Надання соціальних та психолого-педагогічних послуг здобувачам освіти, які вчинили боулінг, стали його свідками або постраждалим від булінгу.</w:t>
      </w:r>
    </w:p>
    <w:p>
      <w:pPr>
        <w:pStyle w:val="Style18"/>
        <w:widowControl/>
        <w:numPr>
          <w:ilvl w:val="0"/>
          <w:numId w:val="1"/>
        </w:numPr>
        <w:pBdr/>
        <w:tabs>
          <w:tab w:val="clear" w:pos="709"/>
          <w:tab w:val="left" w:pos="150" w:leader="none"/>
        </w:tabs>
        <w:bidi w:val="0"/>
        <w:spacing w:before="0" w:after="0"/>
        <w:ind w:start="150" w:end="15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Інформування органів поліції, ССД.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Алгоритм реагування в закладі освіти на випадки домашнього насильства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Відповідно до статті 11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Закону України «Про запобігання та протидію домашньому насильству»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 від 7 грудня 2017 року,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Порядку взаємодії суб’єктів, що здійснюють заходи у сфері запобігання та протидії домашньому насильству  і  насильству за ознакою статті затвердженого постановою Кабінету Міністрів України від 22.08.2018 №658 (п.39-41)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, на виконання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наказу МОН України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«Про затвердження Методичних рекомендацій щодо виявлення, реагування на випадки домашнього насильства і взаємодії педагогічних працівників з іншими органами та службами» від 02.10.2018 №1047, наказу ТВО від 30.10.2018 №428р «Про заходи щодо протидії домашньому насильству».</w:t>
      </w:r>
    </w:p>
    <w:p>
      <w:pPr>
        <w:pStyle w:val="Style18"/>
        <w:widowControl/>
        <w:pBdr/>
        <w:bidi w:val="0"/>
        <w:spacing w:lineRule="auto" w:line="336" w:before="0" w:after="200"/>
        <w:ind w:start="0" w:end="0" w:hanging="0"/>
        <w:jc w:val="start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Попередні заходи: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1. Визначення 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уповноваженої особи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, з працівників закладу освіти для здійснення невідкладних  заходів реагування у випадках виявлення фактів насильства та/або отримання заяв/повідомлень від постраждалої особи/інших осіб.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2. Інформаційно-просвітницькі, виховні заходи із учасниками освітнього процесу з питань запобігання та протидії насильству.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3. Інформація на стендах, сайтах закладів освіти про уповноважену особу закладу, контактні телефони організацій та установ, служб підтримки постраждалих осіб, до яких слід звернутися у випадку домашнього насильства (поліція – 102, Національна дитяча «гаряча лінія» - 0-800-500-333, Національна «гаряча лінія» з протидії домашньому насильству -116-123, 0-800-500-225 та 116-111)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center"/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У разі виявлення фактів насильства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  <w:shd w:fill="FFFFFF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Крок 1.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  <w:shd w:fill="FFFFFF" w:val="clear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Організація соціально-психологічного супроводу постраждалого, надання медичної допомоги (у разі потреби). Дотримання принципу конфіденційності.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  <w:shd w:fill="FFFFFF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Крок 2.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  <w:shd w:fill="FFFFFF" w:val="clear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Протягом доби за допомогою телефонного зв’язку, електронної пошти інформувати уповноважений підрозділ органу Національної поліції, службу у справах дітей, територіальний відділ освіти.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Крок 3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 Фіксування необхідної інформації в журналі реєстрації фактів виявлення (звернення) про вчинення домашнього насильства та насильства за ознакою статі (закладу освіти) за формою згідно з 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shd w:fill="FFFFFF" w:val="clear"/>
          <w:rFonts w:ascii="Times New Roman;serif" w:hAnsi="Times New Roman;serif"/>
          <w:color w:val="0069A9"/>
        </w:rPr>
        <w:instrText> HYPERLINK "http://zakon.rada.gov.ua/laws/show/658-2018-п" \l "n241" \n _blank</w:instrText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shd w:fill="FFFFFF" w:val="clear"/>
          <w:rFonts w:ascii="Times New Roman;serif" w:hAnsi="Times New Roman;serif"/>
          <w:color w:val="0069A9"/>
        </w:rPr>
        <w:fldChar w:fldCharType="separate"/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69A9"/>
          <w:spacing w:val="0"/>
          <w:sz w:val="28"/>
          <w:u w:val="single"/>
          <w:shd w:fill="FFFFFF" w:val="clear"/>
        </w:rPr>
        <w:t>додатком 3</w:t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shd w:fill="FFFFFF" w:val="clear"/>
          <w:rFonts w:ascii="Times New Roman;serif" w:hAnsi="Times New Roman;serif"/>
          <w:color w:val="0069A9"/>
        </w:rPr>
        <w:fldChar w:fldCharType="end"/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  <w:shd w:fill="FFFFFF" w:val="clear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Порядку взаємодії суб’єктів, що здійснюють заходи у сфері запобігання та протидії домашньому насильству  і  насильству за ознакою статті затвердженого постановою Кабінету Міністрів України від 22.08.2018 №658.</w:t>
      </w:r>
    </w:p>
    <w:p>
      <w:pPr>
        <w:pStyle w:val="Style18"/>
        <w:widowControl/>
        <w:pBdr/>
        <w:bidi w:val="0"/>
        <w:spacing w:lineRule="auto" w:line="336" w:before="0" w:after="0"/>
        <w:ind w:start="0" w:end="0" w:hanging="0"/>
        <w:jc w:val="start"/>
        <w:rPr>
          <w:rFonts w:ascii="Calibri;sans-serif" w:hAnsi="Calibri;sans-serif"/>
          <w:b w:val="false"/>
          <w:i w:val="false"/>
          <w:caps w:val="false"/>
          <w:smallCaps w:val="false"/>
          <w:color w:val="333333"/>
          <w:spacing w:val="0"/>
          <w:sz w:val="22"/>
          <w:shd w:fill="FFFFFF" w:val="clear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Крок 4.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  <w:shd w:fill="FFFFFF" w:val="clear"/>
        </w:rPr>
        <w:t xml:space="preserve"> 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Організація корекційної роботи психологічної служби, соціально-педагогічний супровід з жертвою та її кривдником.</w:t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altName w:val="serif"/>
    <w:charset w:val="cc" w:characterSet="windows-1251"/>
    <w:family w:val="auto"/>
    <w:pitch w:val="default"/>
  </w:font>
  <w:font w:name="Calibri">
    <w:altName w:val="sans-serif"/>
    <w:charset w:val="cc" w:characterSet="windows-125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start"/>
      <w:pPr>
        <w:tabs>
          <w:tab w:val="num" w:pos="150"/>
        </w:tabs>
        <w:ind w:start="150" w:hanging="0"/>
      </w:pPr>
      <w:rPr/>
    </w:lvl>
    <w:lvl w:ilvl="1">
      <w:start w:val="1"/>
      <w:numFmt w:val="decimal"/>
      <w:lvlText w:val="%2."/>
      <w:lvlJc w:val="start"/>
      <w:pPr>
        <w:tabs>
          <w:tab w:val="num" w:pos="1414"/>
        </w:tabs>
        <w:ind w:start="1414" w:hanging="283"/>
      </w:pPr>
      <w:rPr/>
    </w:lvl>
    <w:lvl w:ilvl="2">
      <w:start w:val="1"/>
      <w:numFmt w:val="decimal"/>
      <w:lvlText w:val="%3."/>
      <w:lvlJc w:val="start"/>
      <w:pPr>
        <w:tabs>
          <w:tab w:val="num" w:pos="2121"/>
        </w:tabs>
        <w:ind w:start="2121" w:hanging="283"/>
      </w:pPr>
      <w:rPr/>
    </w:lvl>
    <w:lvl w:ilvl="3">
      <w:start w:val="1"/>
      <w:numFmt w:val="decimal"/>
      <w:lvlText w:val="%4."/>
      <w:lvlJc w:val="start"/>
      <w:pPr>
        <w:tabs>
          <w:tab w:val="num" w:pos="2828"/>
        </w:tabs>
        <w:ind w:start="2828" w:hanging="283"/>
      </w:pPr>
      <w:rPr/>
    </w:lvl>
    <w:lvl w:ilvl="4">
      <w:start w:val="1"/>
      <w:numFmt w:val="decimal"/>
      <w:lvlText w:val="%5."/>
      <w:lvlJc w:val="start"/>
      <w:pPr>
        <w:tabs>
          <w:tab w:val="num" w:pos="3535"/>
        </w:tabs>
        <w:ind w:start="3535" w:hanging="283"/>
      </w:pPr>
      <w:rPr/>
    </w:lvl>
    <w:lvl w:ilvl="5">
      <w:start w:val="1"/>
      <w:numFmt w:val="decimal"/>
      <w:lvlText w:val="%6."/>
      <w:lvlJc w:val="start"/>
      <w:pPr>
        <w:tabs>
          <w:tab w:val="num" w:pos="4242"/>
        </w:tabs>
        <w:ind w:start="4242" w:hanging="283"/>
      </w:pPr>
      <w:rPr/>
    </w:lvl>
    <w:lvl w:ilvl="6">
      <w:start w:val="1"/>
      <w:numFmt w:val="decimal"/>
      <w:lvlText w:val="%7."/>
      <w:lvlJc w:val="start"/>
      <w:pPr>
        <w:tabs>
          <w:tab w:val="num" w:pos="4949"/>
        </w:tabs>
        <w:ind w:start="4949" w:hanging="283"/>
      </w:pPr>
      <w:rPr/>
    </w:lvl>
    <w:lvl w:ilvl="7">
      <w:start w:val="1"/>
      <w:numFmt w:val="decimal"/>
      <w:lvlText w:val="%8."/>
      <w:lvlJc w:val="start"/>
      <w:pPr>
        <w:tabs>
          <w:tab w:val="num" w:pos="5656"/>
        </w:tabs>
        <w:ind w:start="5656" w:hanging="283"/>
      </w:pPr>
      <w:rPr/>
    </w:lvl>
    <w:lvl w:ilvl="8">
      <w:start w:val="1"/>
      <w:numFmt w:val="decimal"/>
      <w:lvlText w:val="%9."/>
      <w:lvlJc w:val="start"/>
      <w:pPr>
        <w:tabs>
          <w:tab w:val="num" w:pos="6363"/>
        </w:tabs>
        <w:ind w:star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Style15">
    <w:name w:val="Символ нумерації"/>
    <w:qFormat/>
    <w:rPr/>
  </w:style>
  <w:style w:type="character" w:styleId="Style16">
    <w:name w:val="Відвідане гіперпосилання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2229-19" TargetMode="External"/><Relationship Id="rId3" Type="http://schemas.openxmlformats.org/officeDocument/2006/relationships/hyperlink" Target="https://zakon.rada.gov.ua/laws/show/658-2018-&#1087;" TargetMode="External"/><Relationship Id="rId4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5" Type="http://schemas.openxmlformats.org/officeDocument/2006/relationships/hyperlink" Target="http://vlada.pp.ua/goto/aHR0cHM6Ly9kcml2ZS5nb29nbGUuY29tL2ZpbGUvZC8xdWlNUjJJMjU2SHNTS3dleFQ0ZzhhakxoRlNfWWo5X0Mvdmlldz91c3A9c2hhcmluZw==/" TargetMode="External"/><Relationship Id="rId6" Type="http://schemas.openxmlformats.org/officeDocument/2006/relationships/hyperlink" Target="https://zakon.rada.gov.ua/laws/show/800-2018-&#1087;" TargetMode="External"/><Relationship Id="rId7" Type="http://schemas.openxmlformats.org/officeDocument/2006/relationships/hyperlink" Target="https://zakon.rada.gov.ua/laws/show/z1105-14" TargetMode="External"/><Relationship Id="rId8" Type="http://schemas.openxmlformats.org/officeDocument/2006/relationships/hyperlink" Target="https://zakon.rada.gov.ua/laws/show/2657-19" TargetMode="External"/><Relationship Id="rId9" Type="http://schemas.openxmlformats.org/officeDocument/2006/relationships/hyperlink" Target="http://vlada.pp.ua/goto/aHR0cHM6Ly9kcml2ZS5nb29nbGUuY29tL2ZpbGUvZC8xenA3TmVZbG5NWUVWYlY0Z3VGMXc4OGRhQkhYQlhzeWIvdmlldz91c3A9c2hhcmluZw==/" TargetMode="External"/><Relationship Id="rId10" Type="http://schemas.openxmlformats.org/officeDocument/2006/relationships/hyperlink" Target="https://zakon.rada.gov.ua/laws/show/684-2017-&#1087;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LibreOffice/7.2.0.4$Windows_X86_64 LibreOffice_project/9a9c6381e3f7a62afc1329bd359cc48accb6435b</Application>
  <AppVersion>15.0000</AppVersion>
  <Pages>3</Pages>
  <Words>625</Words>
  <Characters>4267</Characters>
  <CharactersWithSpaces>4870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2022-09-17T08:35:01Z</dcterms:modified>
  <cp:revision>1</cp:revision>
  <dc:subject/>
  <dc:title/>
</cp:coreProperties>
</file>