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26" w:rsidRDefault="00994226" w:rsidP="00994226">
      <w:pPr>
        <w:pStyle w:val="Default"/>
      </w:pPr>
    </w:p>
    <w:p w:rsidR="00994226" w:rsidRPr="00994226" w:rsidRDefault="00994226" w:rsidP="00994226">
      <w:pPr>
        <w:pStyle w:val="Default"/>
        <w:jc w:val="center"/>
        <w:rPr>
          <w:sz w:val="36"/>
          <w:szCs w:val="36"/>
        </w:rPr>
      </w:pPr>
      <w:r w:rsidRPr="00994226">
        <w:rPr>
          <w:b/>
          <w:bCs/>
          <w:sz w:val="36"/>
          <w:szCs w:val="36"/>
        </w:rPr>
        <w:t xml:space="preserve">Структура та </w:t>
      </w:r>
      <w:proofErr w:type="spellStart"/>
      <w:r w:rsidRPr="00994226">
        <w:rPr>
          <w:b/>
          <w:bCs/>
          <w:sz w:val="36"/>
          <w:szCs w:val="36"/>
        </w:rPr>
        <w:t>органи</w:t>
      </w:r>
      <w:proofErr w:type="spellEnd"/>
      <w:r w:rsidRPr="00994226">
        <w:rPr>
          <w:b/>
          <w:bCs/>
          <w:sz w:val="36"/>
          <w:szCs w:val="36"/>
        </w:rPr>
        <w:t xml:space="preserve"> </w:t>
      </w:r>
      <w:proofErr w:type="spellStart"/>
      <w:r w:rsidRPr="00994226">
        <w:rPr>
          <w:b/>
          <w:bCs/>
          <w:sz w:val="36"/>
          <w:szCs w:val="36"/>
        </w:rPr>
        <w:t>управління</w:t>
      </w:r>
      <w:proofErr w:type="spellEnd"/>
      <w:r w:rsidRPr="00994226">
        <w:rPr>
          <w:b/>
          <w:bCs/>
          <w:sz w:val="36"/>
          <w:szCs w:val="36"/>
        </w:rPr>
        <w:t xml:space="preserve"> закладу </w:t>
      </w:r>
      <w:proofErr w:type="spellStart"/>
      <w:r w:rsidRPr="00994226">
        <w:rPr>
          <w:b/>
          <w:bCs/>
          <w:sz w:val="36"/>
          <w:szCs w:val="36"/>
        </w:rPr>
        <w:t>освіти</w:t>
      </w:r>
      <w:proofErr w:type="spellEnd"/>
    </w:p>
    <w:p w:rsidR="00994226" w:rsidRPr="00994226" w:rsidRDefault="00994226" w:rsidP="00994226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226">
        <w:rPr>
          <w:i/>
          <w:sz w:val="28"/>
          <w:szCs w:val="28"/>
        </w:rPr>
        <w:t xml:space="preserve">Заклад </w:t>
      </w:r>
      <w:proofErr w:type="spellStart"/>
      <w:r w:rsidRPr="00994226">
        <w:rPr>
          <w:i/>
          <w:sz w:val="28"/>
          <w:szCs w:val="28"/>
        </w:rPr>
        <w:t>є</w:t>
      </w:r>
      <w:proofErr w:type="spellEnd"/>
      <w:r w:rsidRPr="00994226">
        <w:rPr>
          <w:i/>
          <w:sz w:val="28"/>
          <w:szCs w:val="28"/>
        </w:rPr>
        <w:t xml:space="preserve"> </w:t>
      </w:r>
      <w:proofErr w:type="spellStart"/>
      <w:r w:rsidRPr="00994226">
        <w:rPr>
          <w:i/>
          <w:sz w:val="28"/>
          <w:szCs w:val="28"/>
        </w:rPr>
        <w:t>юридичною</w:t>
      </w:r>
      <w:proofErr w:type="spellEnd"/>
      <w:r w:rsidRPr="00994226">
        <w:rPr>
          <w:i/>
          <w:sz w:val="28"/>
          <w:szCs w:val="28"/>
        </w:rPr>
        <w:t xml:space="preserve"> особою, </w:t>
      </w:r>
      <w:proofErr w:type="spellStart"/>
      <w:r w:rsidRPr="00994226">
        <w:rPr>
          <w:i/>
          <w:sz w:val="28"/>
          <w:szCs w:val="28"/>
        </w:rPr>
        <w:t>має</w:t>
      </w:r>
      <w:proofErr w:type="spellEnd"/>
      <w:r w:rsidRPr="00994226">
        <w:rPr>
          <w:i/>
          <w:sz w:val="28"/>
          <w:szCs w:val="28"/>
        </w:rPr>
        <w:t xml:space="preserve"> печатку, штамп, бланк </w:t>
      </w:r>
      <w:proofErr w:type="spellStart"/>
      <w:r w:rsidRPr="00994226">
        <w:rPr>
          <w:i/>
          <w:sz w:val="28"/>
          <w:szCs w:val="28"/>
        </w:rPr>
        <w:t>зі</w:t>
      </w:r>
      <w:proofErr w:type="spellEnd"/>
      <w:r w:rsidRPr="00994226">
        <w:rPr>
          <w:i/>
          <w:sz w:val="28"/>
          <w:szCs w:val="28"/>
        </w:rPr>
        <w:t xml:space="preserve"> </w:t>
      </w:r>
      <w:proofErr w:type="spellStart"/>
      <w:proofErr w:type="gramStart"/>
      <w:r w:rsidRPr="00994226">
        <w:rPr>
          <w:i/>
          <w:sz w:val="28"/>
          <w:szCs w:val="28"/>
        </w:rPr>
        <w:t>своєю</w:t>
      </w:r>
      <w:proofErr w:type="spellEnd"/>
      <w:proofErr w:type="gramEnd"/>
      <w:r w:rsidRPr="00994226">
        <w:rPr>
          <w:i/>
          <w:sz w:val="28"/>
          <w:szCs w:val="28"/>
        </w:rPr>
        <w:t xml:space="preserve"> </w:t>
      </w:r>
      <w:proofErr w:type="spellStart"/>
      <w:r w:rsidRPr="00994226">
        <w:rPr>
          <w:i/>
          <w:sz w:val="28"/>
          <w:szCs w:val="28"/>
        </w:rPr>
        <w:t>назвою</w:t>
      </w:r>
      <w:proofErr w:type="spellEnd"/>
      <w:r w:rsidRPr="00994226">
        <w:rPr>
          <w:i/>
          <w:sz w:val="28"/>
          <w:szCs w:val="28"/>
        </w:rPr>
        <w:t>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994226">
        <w:rPr>
          <w:i/>
          <w:sz w:val="28"/>
          <w:szCs w:val="28"/>
        </w:rPr>
        <w:t>ідентифікаційний</w:t>
      </w:r>
      <w:proofErr w:type="spellEnd"/>
      <w:r w:rsidRPr="00994226">
        <w:rPr>
          <w:i/>
          <w:sz w:val="28"/>
          <w:szCs w:val="28"/>
        </w:rPr>
        <w:t xml:space="preserve"> код.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закладом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1.Управління закладом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установчими</w:t>
      </w:r>
      <w:proofErr w:type="spellEnd"/>
      <w:r>
        <w:rPr>
          <w:sz w:val="28"/>
          <w:szCs w:val="28"/>
        </w:rPr>
        <w:t xml:space="preserve"> документами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: </w:t>
      </w:r>
    </w:p>
    <w:p w:rsidR="00994226" w:rsidRDefault="00994226" w:rsidP="009942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Сарненська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</w:p>
    <w:p w:rsidR="00994226" w:rsidRPr="00994226" w:rsidRDefault="00994226" w:rsidP="0099422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Висовсько</w:t>
      </w:r>
      <w:proofErr w:type="spellEnd"/>
      <w:r>
        <w:rPr>
          <w:sz w:val="28"/>
          <w:szCs w:val="28"/>
          <w:lang w:val="uk-UA"/>
        </w:rPr>
        <w:t>ї ЗОШ І ступеня</w:t>
      </w:r>
    </w:p>
    <w:p w:rsidR="00994226" w:rsidRDefault="00994226" w:rsidP="009942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рада –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994226" w:rsidRDefault="00994226" w:rsidP="009942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Профспілковий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Цепцевицької</w:t>
      </w:r>
      <w:proofErr w:type="spellEnd"/>
      <w:r>
        <w:rPr>
          <w:sz w:val="28"/>
          <w:szCs w:val="28"/>
          <w:lang w:val="uk-UA"/>
        </w:rPr>
        <w:t xml:space="preserve"> ЗОШ І ІІІ  ступенів) до складу якого входять працівники </w:t>
      </w:r>
      <w:proofErr w:type="spellStart"/>
      <w:r>
        <w:rPr>
          <w:sz w:val="28"/>
          <w:szCs w:val="28"/>
          <w:lang w:val="uk-UA"/>
        </w:rPr>
        <w:t>Висовської</w:t>
      </w:r>
      <w:proofErr w:type="spellEnd"/>
      <w:r>
        <w:rPr>
          <w:sz w:val="28"/>
          <w:szCs w:val="28"/>
          <w:lang w:val="uk-UA"/>
        </w:rPr>
        <w:t xml:space="preserve"> ЗОШ І ступеня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ган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</w:p>
    <w:p w:rsidR="00994226" w:rsidRDefault="00994226" w:rsidP="009942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колегіальний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</w:p>
    <w:p w:rsidR="00994226" w:rsidRDefault="00994226" w:rsidP="009942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: рада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профспілкова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посади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органу.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на посаду за результатами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конкурс на посаду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радою.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кер</w:t>
      </w:r>
      <w:proofErr w:type="gramEnd"/>
      <w:r>
        <w:rPr>
          <w:sz w:val="28"/>
          <w:szCs w:val="28"/>
        </w:rPr>
        <w:t>івника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конкурс на посаду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: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вирішує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призначає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посаду та </w:t>
      </w:r>
      <w:proofErr w:type="spellStart"/>
      <w:r>
        <w:rPr>
          <w:sz w:val="28"/>
          <w:szCs w:val="28"/>
        </w:rPr>
        <w:t>звільняє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посади </w:t>
      </w:r>
      <w:proofErr w:type="spellStart"/>
      <w:r>
        <w:rPr>
          <w:sz w:val="28"/>
          <w:szCs w:val="28"/>
        </w:rPr>
        <w:t>заступників</w:t>
      </w:r>
      <w:proofErr w:type="spellEnd"/>
      <w:r>
        <w:rPr>
          <w:sz w:val="28"/>
          <w:szCs w:val="28"/>
        </w:rPr>
        <w:t xml:space="preserve"> директора,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закладу,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pageBreakBefore/>
        <w:rPr>
          <w:sz w:val="28"/>
          <w:szCs w:val="28"/>
        </w:rPr>
      </w:pP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</w:t>
      </w:r>
      <w:proofErr w:type="gramStart"/>
      <w:r>
        <w:rPr>
          <w:sz w:val="28"/>
          <w:szCs w:val="28"/>
        </w:rPr>
        <w:t>сне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створює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здоровому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ним органом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». 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Директор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головою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колегіального</w:t>
      </w:r>
      <w:proofErr w:type="spellEnd"/>
      <w:r>
        <w:rPr>
          <w:sz w:val="28"/>
          <w:szCs w:val="28"/>
        </w:rPr>
        <w:t xml:space="preserve"> органу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закладу.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потреби,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рази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рада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: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планує</w:t>
      </w:r>
      <w:proofErr w:type="spellEnd"/>
      <w:r>
        <w:rPr>
          <w:sz w:val="28"/>
          <w:szCs w:val="28"/>
        </w:rPr>
        <w:t xml:space="preserve"> роботу закладу;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схвалює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освітні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 закладу та </w:t>
      </w:r>
      <w:proofErr w:type="spellStart"/>
      <w:r>
        <w:rPr>
          <w:sz w:val="28"/>
          <w:szCs w:val="28"/>
        </w:rPr>
        <w:t>оцінює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формує</w:t>
      </w:r>
      <w:proofErr w:type="spellEnd"/>
      <w:r>
        <w:rPr>
          <w:sz w:val="28"/>
          <w:szCs w:val="28"/>
        </w:rPr>
        <w:t xml:space="preserve"> систему та </w:t>
      </w:r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процедури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включаючи</w:t>
      </w:r>
      <w:proofErr w:type="spellEnd"/>
      <w:r>
        <w:rPr>
          <w:sz w:val="28"/>
          <w:szCs w:val="28"/>
        </w:rPr>
        <w:t xml:space="preserve"> систему та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доброчесності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успіхи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обговорює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pageBreakBefore/>
        <w:rPr>
          <w:sz w:val="28"/>
          <w:szCs w:val="28"/>
        </w:rPr>
      </w:pP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ідницькій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експериментальній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інноваційній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закладами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юридичними</w:t>
      </w:r>
      <w:proofErr w:type="spellEnd"/>
      <w:r>
        <w:rPr>
          <w:sz w:val="28"/>
          <w:szCs w:val="28"/>
        </w:rPr>
        <w:t xml:space="preserve"> особами,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закладу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віднесені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Статутом до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дію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закладу. 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створюватися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: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Вищим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скликаються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як один раз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Делегати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правом </w:t>
      </w:r>
      <w:proofErr w:type="spellStart"/>
      <w:r>
        <w:rPr>
          <w:sz w:val="28"/>
          <w:szCs w:val="28"/>
        </w:rPr>
        <w:t>вирішального</w:t>
      </w:r>
      <w:proofErr w:type="spellEnd"/>
      <w:r>
        <w:rPr>
          <w:sz w:val="28"/>
          <w:szCs w:val="28"/>
        </w:rPr>
        <w:t xml:space="preserve"> голосу </w:t>
      </w:r>
      <w:proofErr w:type="spellStart"/>
      <w:r>
        <w:rPr>
          <w:sz w:val="28"/>
          <w:szCs w:val="28"/>
        </w:rPr>
        <w:t>обираються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пропорційно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: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зборами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зборами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зборами</w:t>
      </w:r>
      <w:proofErr w:type="spell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конференція</w:t>
      </w:r>
      <w:proofErr w:type="spellEnd"/>
      <w:r>
        <w:rPr>
          <w:sz w:val="28"/>
          <w:szCs w:val="28"/>
        </w:rPr>
        <w:t xml:space="preserve">)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: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заслуховують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розглядають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затверджують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розглядають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найважливіші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приймають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“Про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”, Статуту </w:t>
      </w:r>
      <w:proofErr w:type="spellStart"/>
      <w:r>
        <w:rPr>
          <w:sz w:val="28"/>
          <w:szCs w:val="28"/>
        </w:rPr>
        <w:t>загальноосвітнього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</w:p>
    <w:p w:rsidR="00994226" w:rsidRPr="00994226" w:rsidRDefault="00994226" w:rsidP="00994226">
      <w:pPr>
        <w:pStyle w:val="Default"/>
        <w:pageBreakBefore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закладу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– Рада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Висовської</w:t>
      </w:r>
      <w:proofErr w:type="spellEnd"/>
      <w:r>
        <w:rPr>
          <w:sz w:val="28"/>
          <w:szCs w:val="28"/>
          <w:lang w:val="uk-UA"/>
        </w:rPr>
        <w:t xml:space="preserve"> ЗОШ І ступеня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школи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  <w:r>
        <w:rPr>
          <w:sz w:val="28"/>
          <w:szCs w:val="28"/>
        </w:rPr>
        <w:t xml:space="preserve">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демократизації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позитивного </w:t>
      </w:r>
      <w:proofErr w:type="spellStart"/>
      <w:r>
        <w:rPr>
          <w:sz w:val="28"/>
          <w:szCs w:val="28"/>
        </w:rPr>
        <w:t>імі</w:t>
      </w:r>
      <w:proofErr w:type="gramStart"/>
      <w:r>
        <w:rPr>
          <w:sz w:val="28"/>
          <w:szCs w:val="28"/>
        </w:rPr>
        <w:t>джу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демократичного стилю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школою;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закладом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994226" w:rsidRDefault="00994226" w:rsidP="00994226">
      <w:pPr>
        <w:pStyle w:val="Default"/>
        <w:rPr>
          <w:sz w:val="28"/>
          <w:szCs w:val="28"/>
        </w:rPr>
      </w:pP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Члени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право: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звертатися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правом </w:t>
      </w:r>
      <w:proofErr w:type="spellStart"/>
      <w:r>
        <w:rPr>
          <w:sz w:val="28"/>
          <w:szCs w:val="28"/>
        </w:rPr>
        <w:t>дорадчого</w:t>
      </w:r>
      <w:proofErr w:type="spellEnd"/>
      <w:r>
        <w:rPr>
          <w:sz w:val="28"/>
          <w:szCs w:val="28"/>
        </w:rPr>
        <w:t xml:space="preserve"> голосу);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ініціювати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spacing w:after="6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вільно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членів</w:t>
      </w:r>
      <w:proofErr w:type="spellEnd"/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бажанням</w:t>
      </w:r>
      <w:proofErr w:type="spellEnd"/>
      <w:r>
        <w:rPr>
          <w:sz w:val="28"/>
          <w:szCs w:val="28"/>
        </w:rPr>
        <w:t xml:space="preserve">; </w:t>
      </w:r>
    </w:p>
    <w:p w:rsidR="00994226" w:rsidRDefault="00994226" w:rsidP="0099422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оприлюднювати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стенди</w:t>
      </w:r>
      <w:proofErr w:type="spellEnd"/>
      <w:r>
        <w:rPr>
          <w:sz w:val="28"/>
          <w:szCs w:val="28"/>
        </w:rPr>
        <w:t xml:space="preserve">, сайт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</w:t>
      </w:r>
      <w:proofErr w:type="gram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та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. </w:t>
      </w:r>
    </w:p>
    <w:p w:rsidR="001723A6" w:rsidRDefault="001723A6"/>
    <w:sectPr w:rsidR="001723A6" w:rsidSect="00E20E84">
      <w:pgSz w:w="11906" w:h="17338"/>
      <w:pgMar w:top="786" w:right="900" w:bottom="921" w:left="11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980DAD"/>
    <w:multiLevelType w:val="hybridMultilevel"/>
    <w:tmpl w:val="C0AB7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3F33A6"/>
    <w:multiLevelType w:val="hybridMultilevel"/>
    <w:tmpl w:val="5FDED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451B06"/>
    <w:multiLevelType w:val="hybridMultilevel"/>
    <w:tmpl w:val="23104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C088C1"/>
    <w:multiLevelType w:val="hybridMultilevel"/>
    <w:tmpl w:val="FF0FB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E7BF45"/>
    <w:multiLevelType w:val="hybridMultilevel"/>
    <w:tmpl w:val="79E684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C242F5"/>
    <w:multiLevelType w:val="hybridMultilevel"/>
    <w:tmpl w:val="290C1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F25B658"/>
    <w:multiLevelType w:val="hybridMultilevel"/>
    <w:tmpl w:val="22874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E64114"/>
    <w:multiLevelType w:val="hybridMultilevel"/>
    <w:tmpl w:val="D979C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226"/>
    <w:rsid w:val="001723A6"/>
    <w:rsid w:val="0099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2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2020-07-05T13:08:00Z</dcterms:created>
  <dcterms:modified xsi:type="dcterms:W3CDTF">2020-07-05T13:16:00Z</dcterms:modified>
</cp:coreProperties>
</file>