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E91" w:rsidRPr="00E47E91" w:rsidRDefault="00E47E91" w:rsidP="00E47E91">
      <w:pPr>
        <w:jc w:val="center"/>
        <w:rPr>
          <w:rFonts w:ascii="Times New Roman" w:hAnsi="Times New Roman" w:cs="Times New Roman"/>
          <w:b/>
          <w:sz w:val="48"/>
          <w:szCs w:val="48"/>
          <w:lang w:val="ru-RU"/>
        </w:rPr>
      </w:pPr>
      <w:r w:rsidRPr="00E47E91">
        <w:rPr>
          <w:rFonts w:ascii="Times New Roman" w:hAnsi="Times New Roman" w:cs="Times New Roman"/>
          <w:b/>
          <w:sz w:val="48"/>
          <w:szCs w:val="48"/>
          <w:lang w:val="ru-RU"/>
        </w:rPr>
        <w:t>Порядок подання та розгляду заяв п</w:t>
      </w:r>
      <w:r w:rsidRPr="00E47E91">
        <w:rPr>
          <w:rFonts w:ascii="Times New Roman" w:hAnsi="Times New Roman" w:cs="Times New Roman"/>
          <w:b/>
          <w:sz w:val="48"/>
          <w:szCs w:val="48"/>
          <w:lang w:val="ru-RU"/>
        </w:rPr>
        <w:t>ро випадки булінгу (цькування)</w:t>
      </w:r>
    </w:p>
    <w:p w:rsidR="00E47E91" w:rsidRPr="00E47E91" w:rsidRDefault="00E47E91" w:rsidP="00E47E91">
      <w:pPr>
        <w:rPr>
          <w:lang w:val="ru-RU"/>
        </w:rPr>
      </w:pPr>
    </w:p>
    <w:p w:rsidR="00E47E91" w:rsidRPr="00E47E91" w:rsidRDefault="00E47E91" w:rsidP="00E47E9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47E91">
        <w:rPr>
          <w:rFonts w:ascii="Times New Roman" w:hAnsi="Times New Roman" w:cs="Times New Roman"/>
          <w:sz w:val="28"/>
          <w:szCs w:val="28"/>
          <w:lang w:val="ru-RU"/>
        </w:rPr>
        <w:t>1. Заяву про випадок булінгу подають учасники освітнього процесу або інші</w:t>
      </w:r>
    </w:p>
    <w:p w:rsidR="00E47E91" w:rsidRPr="00E47E91" w:rsidRDefault="00E47E91" w:rsidP="00E47E9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47E91">
        <w:rPr>
          <w:rFonts w:ascii="Times New Roman" w:hAnsi="Times New Roman" w:cs="Times New Roman"/>
          <w:sz w:val="28"/>
          <w:szCs w:val="28"/>
          <w:lang w:val="ru-RU"/>
        </w:rPr>
        <w:t>працівники закладу, які стали свідком або отримали інформацію про випадок</w:t>
      </w:r>
    </w:p>
    <w:p w:rsidR="00E47E91" w:rsidRPr="00E47E91" w:rsidRDefault="00E47E91" w:rsidP="00E47E9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47E91">
        <w:rPr>
          <w:rFonts w:ascii="Times New Roman" w:hAnsi="Times New Roman" w:cs="Times New Roman"/>
          <w:sz w:val="28"/>
          <w:szCs w:val="28"/>
          <w:lang w:val="ru-RU"/>
        </w:rPr>
        <w:t>булінгу.</w:t>
      </w:r>
    </w:p>
    <w:p w:rsidR="00E47E91" w:rsidRPr="00E47E91" w:rsidRDefault="00E47E91" w:rsidP="00E47E9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47E91">
        <w:rPr>
          <w:rFonts w:ascii="Times New Roman" w:hAnsi="Times New Roman" w:cs="Times New Roman"/>
          <w:sz w:val="28"/>
          <w:szCs w:val="28"/>
          <w:lang w:val="ru-RU"/>
        </w:rPr>
        <w:t>2. Педагогічні працівника закладу мають повідомити директора закладу про факт</w:t>
      </w:r>
    </w:p>
    <w:p w:rsidR="00E47E91" w:rsidRPr="00E47E91" w:rsidRDefault="00E47E91" w:rsidP="00E47E9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47E91">
        <w:rPr>
          <w:rFonts w:ascii="Times New Roman" w:hAnsi="Times New Roman" w:cs="Times New Roman"/>
          <w:sz w:val="28"/>
          <w:szCs w:val="28"/>
          <w:lang w:val="ru-RU"/>
        </w:rPr>
        <w:t>булінгу незалежно від того, чи поскаржилась йому жертва булінгу чи ні.</w:t>
      </w:r>
    </w:p>
    <w:p w:rsidR="00E47E91" w:rsidRPr="00E47E91" w:rsidRDefault="00E47E91" w:rsidP="00E47E9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47E91">
        <w:rPr>
          <w:rFonts w:ascii="Times New Roman" w:hAnsi="Times New Roman" w:cs="Times New Roman"/>
          <w:sz w:val="28"/>
          <w:szCs w:val="28"/>
          <w:lang w:val="ru-RU"/>
        </w:rPr>
        <w:t>3. Керівник закладу приймає заяву про випадок булінгу або підозру щодо його</w:t>
      </w:r>
    </w:p>
    <w:p w:rsidR="00E47E91" w:rsidRPr="00E47E91" w:rsidRDefault="00E47E91" w:rsidP="00E47E9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47E91">
        <w:rPr>
          <w:rFonts w:ascii="Times New Roman" w:hAnsi="Times New Roman" w:cs="Times New Roman"/>
          <w:sz w:val="28"/>
          <w:szCs w:val="28"/>
          <w:lang w:val="ru-RU"/>
        </w:rPr>
        <w:t>вчинення (див. додаток).</w:t>
      </w:r>
    </w:p>
    <w:p w:rsidR="00E47E91" w:rsidRPr="00E47E91" w:rsidRDefault="00E47E91" w:rsidP="00E47E9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47E91">
        <w:rPr>
          <w:rFonts w:ascii="Times New Roman" w:hAnsi="Times New Roman" w:cs="Times New Roman"/>
          <w:sz w:val="28"/>
          <w:szCs w:val="28"/>
          <w:lang w:val="ru-RU"/>
        </w:rPr>
        <w:t>4. Повідомлення можуть бути в усній та (або) письмовій формі, в тому числі із</w:t>
      </w:r>
    </w:p>
    <w:p w:rsidR="00E47E91" w:rsidRPr="00E47E91" w:rsidRDefault="00E47E91" w:rsidP="00E47E9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47E91">
        <w:rPr>
          <w:rFonts w:ascii="Times New Roman" w:hAnsi="Times New Roman" w:cs="Times New Roman"/>
          <w:sz w:val="28"/>
          <w:szCs w:val="28"/>
          <w:lang w:val="ru-RU"/>
        </w:rPr>
        <w:t>застосування засобів електронної комунікації.</w:t>
      </w:r>
    </w:p>
    <w:p w:rsidR="00E47E91" w:rsidRPr="00E47E91" w:rsidRDefault="00E47E91" w:rsidP="00E47E91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47E91" w:rsidRDefault="00E47E91" w:rsidP="00E47E91">
      <w:pPr>
        <w:rPr>
          <w:lang w:val="ru-RU"/>
        </w:rPr>
      </w:pPr>
    </w:p>
    <w:p w:rsidR="00E47E91" w:rsidRDefault="00E47E91" w:rsidP="00E47E91">
      <w:pPr>
        <w:rPr>
          <w:lang w:val="ru-RU"/>
        </w:rPr>
      </w:pPr>
    </w:p>
    <w:p w:rsidR="00E47E91" w:rsidRDefault="00E47E91" w:rsidP="00E47E91">
      <w:pPr>
        <w:rPr>
          <w:lang w:val="ru-RU"/>
        </w:rPr>
      </w:pPr>
    </w:p>
    <w:p w:rsidR="00E47E91" w:rsidRDefault="00E47E91" w:rsidP="00E47E91">
      <w:pPr>
        <w:rPr>
          <w:lang w:val="ru-RU"/>
        </w:rPr>
      </w:pPr>
    </w:p>
    <w:p w:rsidR="00E47E91" w:rsidRDefault="00E47E91" w:rsidP="00E47E91">
      <w:pPr>
        <w:rPr>
          <w:lang w:val="ru-RU"/>
        </w:rPr>
      </w:pPr>
    </w:p>
    <w:p w:rsidR="00E47E91" w:rsidRDefault="00E47E91" w:rsidP="00E47E91">
      <w:pPr>
        <w:rPr>
          <w:lang w:val="ru-RU"/>
        </w:rPr>
      </w:pPr>
    </w:p>
    <w:p w:rsidR="00E47E91" w:rsidRDefault="00E47E91" w:rsidP="00E47E91">
      <w:pPr>
        <w:rPr>
          <w:lang w:val="ru-RU"/>
        </w:rPr>
      </w:pPr>
    </w:p>
    <w:p w:rsidR="00E47E91" w:rsidRDefault="00E47E91" w:rsidP="00E47E91">
      <w:pPr>
        <w:rPr>
          <w:lang w:val="ru-RU"/>
        </w:rPr>
      </w:pPr>
    </w:p>
    <w:p w:rsidR="00E47E91" w:rsidRDefault="00E47E91" w:rsidP="00E47E91">
      <w:pPr>
        <w:rPr>
          <w:lang w:val="ru-RU"/>
        </w:rPr>
      </w:pPr>
    </w:p>
    <w:p w:rsidR="00E47E91" w:rsidRDefault="00E47E91" w:rsidP="00E47E91">
      <w:pPr>
        <w:rPr>
          <w:lang w:val="ru-RU"/>
        </w:rPr>
      </w:pPr>
    </w:p>
    <w:p w:rsidR="00E47E91" w:rsidRDefault="00E47E91" w:rsidP="00E47E91">
      <w:pPr>
        <w:rPr>
          <w:lang w:val="ru-RU"/>
        </w:rPr>
      </w:pPr>
    </w:p>
    <w:p w:rsidR="00E47E91" w:rsidRDefault="00E47E91" w:rsidP="00E47E91">
      <w:pPr>
        <w:rPr>
          <w:lang w:val="ru-RU"/>
        </w:rPr>
      </w:pPr>
    </w:p>
    <w:p w:rsidR="002A71AC" w:rsidRDefault="002A71AC" w:rsidP="00E47E91">
      <w:bookmarkStart w:id="0" w:name="_GoBack"/>
      <w:bookmarkEnd w:id="0"/>
    </w:p>
    <w:sectPr w:rsidR="002A71A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372"/>
    <w:rsid w:val="002A71AC"/>
    <w:rsid w:val="00B13372"/>
    <w:rsid w:val="00E4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5A27D"/>
  <w15:chartTrackingRefBased/>
  <w15:docId w15:val="{C3EE70AF-AAF9-41E7-B458-A4511DC17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2025-04-02T11:42:00Z</dcterms:created>
  <dcterms:modified xsi:type="dcterms:W3CDTF">2025-04-02T11:43:00Z</dcterms:modified>
</cp:coreProperties>
</file>