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E2" w:rsidRDefault="006D02E2" w:rsidP="006D02E2">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36"/>
          <w:szCs w:val="28"/>
          <w:lang w:val="uk-UA" w:eastAsia="ru-RU"/>
        </w:rPr>
      </w:pPr>
      <w:r w:rsidRPr="006D02E2">
        <w:rPr>
          <w:rFonts w:ascii="Times New Roman" w:eastAsia="Times New Roman" w:hAnsi="Times New Roman" w:cs="Times New Roman"/>
          <w:b/>
          <w:bCs/>
          <w:color w:val="FF0000"/>
          <w:kern w:val="36"/>
          <w:sz w:val="36"/>
          <w:szCs w:val="28"/>
          <w:lang w:val="uk-UA" w:eastAsia="ru-RU"/>
        </w:rPr>
        <w:t>Щодо прийому дітей до 1-х класів у 2019 році – роз’яснення МОН</w:t>
      </w:r>
    </w:p>
    <w:p w:rsidR="006D02E2" w:rsidRPr="006D02E2" w:rsidRDefault="006D02E2" w:rsidP="006D02E2">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36"/>
          <w:szCs w:val="28"/>
          <w:lang w:val="uk-UA" w:eastAsia="ru-RU"/>
        </w:rPr>
      </w:pPr>
    </w:p>
    <w:p w:rsidR="006D02E2" w:rsidRPr="006D02E2" w:rsidRDefault="006D02E2" w:rsidP="006D02E2">
      <w:pPr>
        <w:pStyle w:val="a3"/>
        <w:shd w:val="clear" w:color="auto" w:fill="FFFFFF"/>
        <w:spacing w:before="0" w:beforeAutospacing="0" w:after="0" w:afterAutospacing="0"/>
        <w:ind w:firstLine="708"/>
        <w:jc w:val="both"/>
        <w:textAlignment w:val="baseline"/>
        <w:rPr>
          <w:color w:val="1A1A1A"/>
          <w:sz w:val="28"/>
          <w:szCs w:val="28"/>
          <w:lang w:val="uk-UA"/>
        </w:rPr>
      </w:pPr>
      <w:r w:rsidRPr="006D02E2">
        <w:rPr>
          <w:rStyle w:val="a4"/>
          <w:color w:val="1A1A1A"/>
          <w:sz w:val="28"/>
          <w:szCs w:val="28"/>
          <w:bdr w:val="none" w:sz="0" w:space="0" w:color="auto" w:frame="1"/>
          <w:lang w:val="uk-UA"/>
        </w:rPr>
        <w:t>Для першочергового зарахування дитини в перший клас використовувати лише місце реєстрації як один спосіб підтвердження її місця проживання є неприпустимим обмеженням. Підтвердити місце проживання можна також низкою інших документів.</w:t>
      </w:r>
      <w:bookmarkStart w:id="0" w:name="_GoBack"/>
      <w:bookmarkEnd w:id="0"/>
    </w:p>
    <w:p w:rsidR="006D02E2" w:rsidRPr="006D02E2" w:rsidRDefault="006D02E2" w:rsidP="006D02E2">
      <w:pPr>
        <w:pStyle w:val="a3"/>
        <w:shd w:val="clear" w:color="auto" w:fill="FFFFFF"/>
        <w:spacing w:before="0" w:beforeAutospacing="0" w:after="0" w:afterAutospacing="0"/>
        <w:ind w:firstLine="708"/>
        <w:jc w:val="both"/>
        <w:textAlignment w:val="baseline"/>
        <w:rPr>
          <w:color w:val="1A1A1A"/>
          <w:sz w:val="28"/>
          <w:szCs w:val="28"/>
          <w:lang w:val="uk-UA"/>
        </w:rPr>
      </w:pPr>
      <w:r w:rsidRPr="006D02E2">
        <w:rPr>
          <w:color w:val="1A1A1A"/>
          <w:sz w:val="28"/>
          <w:szCs w:val="28"/>
          <w:lang w:val="uk-UA"/>
        </w:rPr>
        <w:t>Про це йдеться в листі МОН від 5 квітня 2019 року № 1/9-227, присвяченому прийому дітей до перших класів у 2019 році.</w:t>
      </w:r>
    </w:p>
    <w:p w:rsidR="006D02E2" w:rsidRPr="006D02E2" w:rsidRDefault="006D02E2" w:rsidP="006D02E2">
      <w:pPr>
        <w:pStyle w:val="a3"/>
        <w:shd w:val="clear" w:color="auto" w:fill="FFFFFF"/>
        <w:spacing w:before="0" w:beforeAutospacing="0" w:after="0" w:afterAutospacing="0"/>
        <w:ind w:firstLine="708"/>
        <w:jc w:val="both"/>
        <w:textAlignment w:val="baseline"/>
        <w:rPr>
          <w:color w:val="1A1A1A"/>
          <w:sz w:val="28"/>
          <w:szCs w:val="28"/>
          <w:lang w:val="uk-UA"/>
        </w:rPr>
      </w:pPr>
      <w:r w:rsidRPr="006D02E2">
        <w:rPr>
          <w:color w:val="1A1A1A"/>
          <w:sz w:val="28"/>
          <w:szCs w:val="28"/>
          <w:lang w:val="uk-UA"/>
        </w:rPr>
        <w:t>Роз’яснено, що відповідно до вимог нового Закону «Про освіту» було змінено порядок зарахування дітей у перші класи. Тепер кожна дитина може піти в школу, найближчу до її місця проживання, закріплену за цією територією (без тестів, співбесід чи інших випробувань). Для першочергового зарахування треба тільки підтвердити місце проживання одним з документів. Їх перелік закріплено в постанові КМУ № 684 «Про затвердження Порядку ведення обліку дітей дошкільного, шкільного віку та учнів».</w:t>
      </w:r>
    </w:p>
    <w:p w:rsidR="006D02E2" w:rsidRPr="006D02E2" w:rsidRDefault="006D02E2" w:rsidP="006D02E2">
      <w:pPr>
        <w:pStyle w:val="a3"/>
        <w:shd w:val="clear" w:color="auto" w:fill="FFFFFF"/>
        <w:spacing w:before="0" w:beforeAutospacing="0" w:after="0" w:afterAutospacing="0"/>
        <w:ind w:firstLine="708"/>
        <w:jc w:val="both"/>
        <w:textAlignment w:val="baseline"/>
        <w:rPr>
          <w:color w:val="1A1A1A"/>
          <w:sz w:val="28"/>
          <w:szCs w:val="28"/>
          <w:lang w:val="uk-UA"/>
        </w:rPr>
      </w:pPr>
      <w:r w:rsidRPr="006D02E2">
        <w:rPr>
          <w:color w:val="1A1A1A"/>
          <w:sz w:val="28"/>
          <w:szCs w:val="28"/>
          <w:lang w:val="uk-UA"/>
        </w:rPr>
        <w:t>Підтвердити місце проживання дитини можна такими документами:</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довідка про реєстрацію місця проживання дитини або одного з її батьків чи законних представників;</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довідка про взяття на облік внутрішньо переміщеної особи;</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документ, що засвідчує право власності на відповідне житло;</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документ, що засвідчує право користування житлом (договір найму/піднайму/оренди тощо), укладений між фізособами (за умови його реєстрації або нотаріального посвідчення) чи між юридичною і фізичною особами, зокрема щодо користування кімнатою в гуртожитку;</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довідка про проходження служби у військовій частині;</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акт обстеження умов проживання.</w:t>
      </w:r>
    </w:p>
    <w:p w:rsidR="006D02E2" w:rsidRPr="006D02E2" w:rsidRDefault="006D02E2" w:rsidP="006D02E2">
      <w:pPr>
        <w:pStyle w:val="a3"/>
        <w:shd w:val="clear" w:color="auto" w:fill="FFFFFF"/>
        <w:spacing w:before="0" w:beforeAutospacing="0" w:after="0" w:afterAutospacing="0"/>
        <w:ind w:firstLine="708"/>
        <w:jc w:val="both"/>
        <w:textAlignment w:val="baseline"/>
        <w:rPr>
          <w:color w:val="1A1A1A"/>
          <w:sz w:val="28"/>
          <w:szCs w:val="28"/>
          <w:lang w:val="uk-UA"/>
        </w:rPr>
      </w:pPr>
      <w:r w:rsidRPr="006D02E2">
        <w:rPr>
          <w:color w:val="1A1A1A"/>
          <w:sz w:val="28"/>
          <w:szCs w:val="28"/>
          <w:lang w:val="uk-UA"/>
        </w:rPr>
        <w:t>Проте цей перелік не є вичерпним – підтвердженням також може бути інший офіційний документ, що містить інформацію про місце проживання дитини та/або одного з її батьків чи законних представників. Приймаючи такий документ, директори шкіл мають переконатися, що він:</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xml:space="preserve">містить інформацію, яка підтверджує чи посвідчує місце проживання дитини або її батьків (одного з батьків) на території обслуговування відповідного </w:t>
      </w:r>
      <w:r w:rsidRPr="006D02E2">
        <w:rPr>
          <w:color w:val="1A1A1A"/>
          <w:sz w:val="28"/>
          <w:szCs w:val="28"/>
          <w:lang w:val="uk-UA"/>
        </w:rPr>
        <w:lastRenderedPageBreak/>
        <w:t>закладу загальної середньої освіти;</w:t>
      </w:r>
      <w:r w:rsidRPr="006D02E2">
        <w:rPr>
          <w:color w:val="1A1A1A"/>
          <w:sz w:val="28"/>
          <w:szCs w:val="28"/>
          <w:lang w:val="uk-UA"/>
        </w:rPr>
        <w:t xml:space="preserve"> </w:t>
      </w:r>
      <w:r w:rsidRPr="006D02E2">
        <w:rPr>
          <w:color w:val="1A1A1A"/>
          <w:sz w:val="28"/>
          <w:szCs w:val="28"/>
          <w:lang w:val="uk-UA"/>
        </w:rPr>
        <w:t>складений, виданий чи посвідчений особою, яка уповноважена на це відповідно до закону;</w:t>
      </w:r>
      <w:r w:rsidRPr="006D02E2">
        <w:rPr>
          <w:color w:val="1A1A1A"/>
          <w:sz w:val="28"/>
          <w:szCs w:val="28"/>
          <w:lang w:val="uk-UA"/>
        </w:rPr>
        <w:br/>
        <w:t>має форму та реквізити, передбачені відповідним нормативно-правовим актом.</w:t>
      </w:r>
      <w:r w:rsidRPr="006D02E2">
        <w:rPr>
          <w:color w:val="1A1A1A"/>
          <w:sz w:val="28"/>
          <w:szCs w:val="28"/>
          <w:lang w:val="uk-UA"/>
        </w:rPr>
        <w:t xml:space="preserve"> </w:t>
      </w:r>
    </w:p>
    <w:p w:rsidR="006D02E2" w:rsidRPr="006D02E2" w:rsidRDefault="006D02E2" w:rsidP="006D02E2">
      <w:pPr>
        <w:pStyle w:val="a3"/>
        <w:shd w:val="clear" w:color="auto" w:fill="FFFFFF"/>
        <w:spacing w:before="0" w:beforeAutospacing="0" w:after="0" w:afterAutospacing="0"/>
        <w:ind w:firstLine="708"/>
        <w:jc w:val="both"/>
        <w:textAlignment w:val="baseline"/>
        <w:rPr>
          <w:color w:val="1A1A1A"/>
          <w:sz w:val="28"/>
          <w:szCs w:val="28"/>
          <w:lang w:val="uk-UA"/>
        </w:rPr>
      </w:pPr>
      <w:r w:rsidRPr="006D02E2">
        <w:rPr>
          <w:color w:val="1A1A1A"/>
          <w:sz w:val="28"/>
          <w:szCs w:val="28"/>
          <w:lang w:val="uk-UA"/>
        </w:rPr>
        <w:t>МОН нагадало, що дату початку прийому документів для зарахування в перший клас визначають місцеві органи самоврядування. У деяких регіонах України прийом уже оголошено. Водночас кінцева дата подання документів єдина для всіх – це 31 травня.</w:t>
      </w:r>
    </w:p>
    <w:p w:rsidR="006D02E2" w:rsidRPr="006D02E2" w:rsidRDefault="006D02E2" w:rsidP="006D02E2">
      <w:pPr>
        <w:pStyle w:val="a3"/>
        <w:shd w:val="clear" w:color="auto" w:fill="FFFFFF"/>
        <w:spacing w:before="0" w:beforeAutospacing="0" w:after="0" w:afterAutospacing="0"/>
        <w:ind w:firstLine="708"/>
        <w:jc w:val="both"/>
        <w:textAlignment w:val="baseline"/>
        <w:rPr>
          <w:color w:val="1A1A1A"/>
          <w:sz w:val="28"/>
          <w:szCs w:val="28"/>
          <w:lang w:val="uk-UA"/>
        </w:rPr>
      </w:pPr>
      <w:r w:rsidRPr="006D02E2">
        <w:rPr>
          <w:color w:val="1A1A1A"/>
          <w:sz w:val="28"/>
          <w:szCs w:val="28"/>
          <w:lang w:val="uk-UA"/>
        </w:rPr>
        <w:t>Батьки мають право подати заяву до закладу освіти, на території обслуговування якого вони (їхня дитина) проживають, – зарахування до цієї школи дитині гарантується Законом. Також батьки мають право подати заяву до будь-якого іншого закладу – до нього дитина може бути зарахована на вільні місця, зокрема, за результатами жеребкування.</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Якщо на 31 травня кількість поданих заяв не перевищує кількості місць, то не пізніше 1 червня видається наказ про зарахування усіх дітей. Їх список оприлюднюється виключно в закладі освіти.</w:t>
      </w:r>
    </w:p>
    <w:p w:rsidR="006D02E2" w:rsidRPr="006D02E2" w:rsidRDefault="006D02E2" w:rsidP="006D02E2">
      <w:pPr>
        <w:pStyle w:val="a3"/>
        <w:shd w:val="clear" w:color="auto" w:fill="FFFFFF"/>
        <w:spacing w:before="0" w:beforeAutospacing="0" w:after="0" w:afterAutospacing="0"/>
        <w:ind w:firstLine="708"/>
        <w:jc w:val="both"/>
        <w:textAlignment w:val="baseline"/>
        <w:rPr>
          <w:color w:val="1A1A1A"/>
          <w:sz w:val="28"/>
          <w:szCs w:val="28"/>
          <w:lang w:val="uk-UA"/>
        </w:rPr>
      </w:pPr>
      <w:r w:rsidRPr="006D02E2">
        <w:rPr>
          <w:color w:val="1A1A1A"/>
          <w:sz w:val="28"/>
          <w:szCs w:val="28"/>
          <w:lang w:val="uk-UA"/>
        </w:rPr>
        <w:t>Коли у школі залишаються вільні місця, інформація про них розміщується на інформаційному стенді закладу та його веб-сайті (у разі відсутності – на веб-сайті органу, у сфері управління якого перебуває заклад).</w:t>
      </w:r>
    </w:p>
    <w:p w:rsidR="006D02E2" w:rsidRPr="006D02E2" w:rsidRDefault="006D02E2" w:rsidP="006D02E2">
      <w:pPr>
        <w:pStyle w:val="a3"/>
        <w:shd w:val="clear" w:color="auto" w:fill="FFFFFF"/>
        <w:spacing w:before="0" w:beforeAutospacing="0" w:after="0" w:afterAutospacing="0"/>
        <w:ind w:firstLine="708"/>
        <w:jc w:val="both"/>
        <w:textAlignment w:val="baseline"/>
        <w:rPr>
          <w:color w:val="1A1A1A"/>
          <w:sz w:val="28"/>
          <w:szCs w:val="28"/>
          <w:lang w:val="uk-UA"/>
        </w:rPr>
      </w:pPr>
      <w:r w:rsidRPr="006D02E2">
        <w:rPr>
          <w:color w:val="1A1A1A"/>
          <w:sz w:val="28"/>
          <w:szCs w:val="28"/>
          <w:lang w:val="uk-UA"/>
        </w:rPr>
        <w:t>Якщо на 31 травня кількість поданих заяв перевищує кількість місць, то до 1 червня зараховуються діти:</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місце проживання яких на території обслуговування школи підтверджене;</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які є рідними (усиновленими) братами та/або сестрами учнів цього закладу освіти;</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які є дітьми працівників цього закладу освіти;</w:t>
      </w:r>
    </w:p>
    <w:p w:rsidR="006D02E2" w:rsidRPr="006D02E2" w:rsidRDefault="006D02E2" w:rsidP="006D02E2">
      <w:pPr>
        <w:pStyle w:val="a3"/>
        <w:shd w:val="clear" w:color="auto" w:fill="FFFFFF"/>
        <w:spacing w:before="0" w:beforeAutospacing="0" w:after="0" w:afterAutospacing="0"/>
        <w:jc w:val="both"/>
        <w:textAlignment w:val="baseline"/>
        <w:rPr>
          <w:color w:val="1A1A1A"/>
          <w:sz w:val="28"/>
          <w:szCs w:val="28"/>
          <w:lang w:val="uk-UA"/>
        </w:rPr>
      </w:pPr>
      <w:r w:rsidRPr="006D02E2">
        <w:rPr>
          <w:color w:val="1A1A1A"/>
          <w:sz w:val="28"/>
          <w:szCs w:val="28"/>
          <w:lang w:val="uk-UA"/>
        </w:rPr>
        <w:t>– які є випускниками дошкільного підрозділу цього закладу освіти (за його наявності).</w:t>
      </w:r>
    </w:p>
    <w:p w:rsidR="006D02E2" w:rsidRPr="006D02E2" w:rsidRDefault="006D02E2" w:rsidP="006D02E2">
      <w:pPr>
        <w:pStyle w:val="a3"/>
        <w:shd w:val="clear" w:color="auto" w:fill="FFFFFF"/>
        <w:spacing w:before="0" w:beforeAutospacing="0" w:after="0" w:afterAutospacing="0"/>
        <w:ind w:firstLine="708"/>
        <w:jc w:val="both"/>
        <w:textAlignment w:val="baseline"/>
        <w:rPr>
          <w:color w:val="1A1A1A"/>
          <w:sz w:val="28"/>
          <w:szCs w:val="28"/>
          <w:lang w:val="uk-UA"/>
        </w:rPr>
      </w:pPr>
      <w:r w:rsidRPr="006D02E2">
        <w:rPr>
          <w:color w:val="1A1A1A"/>
          <w:sz w:val="28"/>
          <w:szCs w:val="28"/>
          <w:lang w:val="uk-UA"/>
        </w:rPr>
        <w:t>До 15 червня зараховуються всі інші діти за результатами жеребкування. Воно проводиться з 5 до 10 червня та є публічним.</w:t>
      </w:r>
    </w:p>
    <w:p w:rsidR="00B17EE2" w:rsidRDefault="00B17EE2"/>
    <w:sectPr w:rsidR="00B17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E2"/>
    <w:rsid w:val="006D02E2"/>
    <w:rsid w:val="008515E2"/>
    <w:rsid w:val="00B17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02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0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4638">
      <w:bodyDiv w:val="1"/>
      <w:marLeft w:val="0"/>
      <w:marRight w:val="0"/>
      <w:marTop w:val="0"/>
      <w:marBottom w:val="0"/>
      <w:divBdr>
        <w:top w:val="none" w:sz="0" w:space="0" w:color="auto"/>
        <w:left w:val="none" w:sz="0" w:space="0" w:color="auto"/>
        <w:bottom w:val="none" w:sz="0" w:space="0" w:color="auto"/>
        <w:right w:val="none" w:sz="0" w:space="0" w:color="auto"/>
      </w:divBdr>
    </w:div>
    <w:div w:id="4063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3596</Characters>
  <Application>Microsoft Office Word</Application>
  <DocSecurity>0</DocSecurity>
  <Lines>29</Lines>
  <Paragraphs>8</Paragraphs>
  <ScaleCrop>false</ScaleCrop>
  <Company>*</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2019-10-31T07:25:00Z</dcterms:created>
  <dcterms:modified xsi:type="dcterms:W3CDTF">2019-10-31T07:28:00Z</dcterms:modified>
</cp:coreProperties>
</file>