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835"/>
        <w:gridCol w:w="608"/>
        <w:gridCol w:w="1033"/>
        <w:gridCol w:w="1195"/>
        <w:gridCol w:w="973"/>
        <w:gridCol w:w="864"/>
        <w:gridCol w:w="998"/>
        <w:gridCol w:w="351"/>
        <w:gridCol w:w="448"/>
        <w:gridCol w:w="448"/>
        <w:gridCol w:w="170"/>
        <w:gridCol w:w="278"/>
      </w:tblGrid>
      <w:tr>
        <w:trPr>
          <w:trHeight w:hRule="exact" w:val="277.83"/>
        </w:trPr>
        <w:tc>
          <w:tcPr>
            <w:tcW w:w="2835" w:type="dxa"/>
            <w:tcBorders>
</w:tcBorders>
            <w:shd w:val="clear" w:color="#000000" w:fill="#FFFFFF"/>
            <w:vAlign w:val="top"/>
            <w:tcMar>
              <w:top w:w="17" w:type="dxa"/>
              <w:left w:w="38" w:type="dxa"/>
              <w:bottom w:w="17" w:type="dxa"/>
              <w:right w:w="38" w:type="dxa"/>
            </w:tcMar>
          </w:tcPr>
          <w:p/>
        </w:tc>
        <w:tc>
          <w:tcPr>
            <w:tcW w:w="4672.05" w:type="dxa"/>
            <w:gridSpan w:val="5"/>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447.9" w:type="dxa"/>
            <w:tcBorders>
</w:tcBorders>
            <w:shd w:val="clear" w:color="#000000" w:fill="#FFFFFF"/>
            <w:vAlign w:val="top"/>
            <w:tcMar>
              <w:top w:w="17" w:type="dxa"/>
              <w:left w:w="38" w:type="dxa"/>
              <w:bottom w:w="17" w:type="dxa"/>
              <w:right w:w="38" w:type="dxa"/>
            </w:tcMar>
          </w:tcPr>
          <w:p/>
        </w:tc>
        <w:tc>
          <w:tcPr>
            <w:tcW w:w="447.9" w:type="dxa"/>
            <w:tcBorders>
</w:tcBorders>
            <w:shd w:val="clear" w:color="#000000" w:fill="#FFFFFF"/>
            <w:vAlign w:val="top"/>
            <w:tcMar>
              <w:top w:w="17" w:type="dxa"/>
              <w:left w:w="38" w:type="dxa"/>
              <w:bottom w:w="17" w:type="dxa"/>
              <w:right w:w="38" w:type="dxa"/>
            </w:tcMar>
          </w:tcPr>
          <w:p/>
        </w:tc>
        <w:tc>
          <w:tcPr>
            <w:tcW w:w="447.9" w:type="dxa"/>
            <w:gridSpan w:val="2"/>
            <w:tcBorders>
</w:tcBorders>
            <w:shd w:val="clear" w:color="#000000" w:fill="#FFFFFF"/>
            <w:vAlign w:val="top"/>
            <w:tcMar>
              <w:top w:w="17" w:type="dxa"/>
              <w:left w:w="38" w:type="dxa"/>
              <w:bottom w:w="17" w:type="dxa"/>
              <w:right w:w="38" w:type="dxa"/>
            </w:tcMar>
          </w:tcPr>
          <w:p/>
        </w:tc>
      </w:tr>
      <w:tr>
        <w:trPr>
          <w:trHeight w:hRule="exact" w:val="277.83"/>
        </w:trPr>
        <w:tc>
          <w:tcPr>
            <w:tcW w:w="10200.15" w:type="dxa"/>
            <w:gridSpan w:val="12"/>
            <w:tcBorders>
</w:tcBorders>
            <w:shd w:val="clear" w:color="#000000" w:fill="#FFFFFF"/>
            <w:vAlign w:val="center"/>
            <w:tcMar>
              <w:top w:w="17" w:type="dxa"/>
              <w:left w:w="38" w:type="dxa"/>
              <w:bottom w:w="17" w:type="dxa"/>
              <w:right w:w="38" w:type="dxa"/>
            </w:tcMar>
          </w:tcPr>
          <w:p/>
        </w:tc>
      </w:tr>
      <w:tr>
        <w:trPr>
          <w:trHeight w:hRule="exact" w:val="478.9261"/>
        </w:trPr>
        <w:tc>
          <w:tcPr>
            <w:tcW w:w="10200.15" w:type="dxa"/>
            <w:gridSpan w:val="12"/>
            <w:tcBorders>
</w:tcBorders>
            <w:shd w:val="clear" w:color="#000000" w:fill="#FFFFFF"/>
            <w:vAlign w:val="center"/>
            <w:tcMar>
              <w:top w:w="17" w:type="dxa"/>
              <w:left w:w="38" w:type="dxa"/>
              <w:bottom w:w="17" w:type="dxa"/>
              <w:right w:w="38" w:type="dxa"/>
            </w:tcMar>
          </w:tcPr>
          <w:p>
            <w:pPr>
              <w:jc w:val="center"/>
              <w:spacing w:after="0" w:line="420" w:lineRule="auto"/>
              <w:rPr>
                <w:sz w:val="36"/>
                <w:szCs w:val="36"/>
              </w:rPr>
            </w:pPr>
            <w:r>
              <w:rPr>
                <w:rFonts w:ascii="Times New Roman" w:hAnsi="Times New Roman" w:cs="Times New Roman"/>
                <w:b/>
                <w:color w:val="#000000"/>
                <w:sz w:val="36"/>
                <w:szCs w:val="36"/>
              </w:rPr>
              <w:t> ПОЯСНЮВАЛЬНА ЗАПИСКА</w:t>
            </w:r>
          </w:p>
        </w:tc>
      </w:tr>
      <w:tr>
        <w:trPr>
          <w:trHeight w:hRule="exact" w:val="277.8299"/>
        </w:trPr>
        <w:tc>
          <w:tcPr>
            <w:tcW w:w="10200.15" w:type="dxa"/>
            <w:gridSpan w:val="1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за перше півріччя 2020 року</w:t>
            </w:r>
          </w:p>
        </w:tc>
      </w:tr>
      <w:tr>
        <w:trPr>
          <w:trHeight w:hRule="exact" w:val="277.83"/>
        </w:trPr>
        <w:tc>
          <w:tcPr>
            <w:tcW w:w="2835" w:type="dxa"/>
            <w:tcBorders>
</w:tcBorders>
            <w:shd w:val="clear" w:color="#000000" w:fill="#FFFFFF"/>
            <w:vAlign w:val="top"/>
            <w:tcMar>
              <w:top w:w="17" w:type="dxa"/>
              <w:left w:w="38" w:type="dxa"/>
              <w:bottom w:w="17" w:type="dxa"/>
              <w:right w:w="38" w:type="dxa"/>
            </w:tcMar>
          </w:tcPr>
          <w:p/>
        </w:tc>
        <w:tc>
          <w:tcPr>
            <w:tcW w:w="4672.05" w:type="dxa"/>
            <w:gridSpan w:val="5"/>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КОДИ</w:t>
            </w:r>
          </w:p>
        </w:tc>
      </w:tr>
      <w:tr>
        <w:trPr>
          <w:trHeight w:hRule="exact" w:val="674.73"/>
        </w:trPr>
        <w:tc>
          <w:tcPr>
            <w:tcW w:w="283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Установа</w:t>
            </w:r>
          </w:p>
        </w:tc>
        <w:tc>
          <w:tcPr>
            <w:tcW w:w="4672.0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Вербівський заклад повної загальної середньої освіти Вербівської сільської ради  Нижньосірогозького району Херсонської області</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ЄДРПОУ</w:t>
            </w: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24951473</w:t>
            </w:r>
          </w:p>
        </w:tc>
      </w:tr>
      <w:tr>
        <w:trPr>
          <w:trHeight w:hRule="exact" w:val="285.6211"/>
        </w:trPr>
        <w:tc>
          <w:tcPr>
            <w:tcW w:w="283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Територія</w:t>
            </w:r>
          </w:p>
        </w:tc>
        <w:tc>
          <w:tcPr>
            <w:tcW w:w="4672.0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Верби</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КОАТУУ</w:t>
            </w: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6523880501</w:t>
            </w:r>
          </w:p>
        </w:tc>
      </w:tr>
      <w:tr>
        <w:trPr>
          <w:trHeight w:hRule="exact" w:val="449.8199"/>
        </w:trPr>
        <w:tc>
          <w:tcPr>
            <w:tcW w:w="283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Організаційно-правова</w:t>
            </w:r>
            <w:r>
              <w:rPr/>
              <w:t xml:space="preserve"> </w:t>
            </w:r>
            <w:r>
              <w:rPr>
                <w:rFonts w:ascii="Times New Roman" w:hAnsi="Times New Roman" w:cs="Times New Roman"/>
                <w:color w:val="#000000"/>
                <w:sz w:val="18"/>
                <w:szCs w:val="18"/>
              </w:rPr>
              <w:t>форма</w:t>
            </w:r>
            <w:r>
              <w:rPr/>
              <w:t xml:space="preserve"> </w:t>
            </w:r>
            <w:r>
              <w:rPr>
                <w:rFonts w:ascii="Times New Roman" w:hAnsi="Times New Roman" w:cs="Times New Roman"/>
                <w:color w:val="#000000"/>
                <w:sz w:val="18"/>
                <w:szCs w:val="18"/>
              </w:rPr>
              <w:t>господарювання</w:t>
            </w:r>
            <w:r>
              <w:rPr/>
              <w:t xml:space="preserve"> </w:t>
            </w:r>
          </w:p>
        </w:tc>
        <w:tc>
          <w:tcPr>
            <w:tcW w:w="4672.0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Комунальна організація (установа, заклад)</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КОПФГ</w:t>
            </w: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430</w:t>
            </w:r>
          </w:p>
        </w:tc>
      </w:tr>
      <w:tr>
        <w:trPr>
          <w:trHeight w:hRule="exact" w:val="449.8201"/>
        </w:trPr>
        <w:tc>
          <w:tcPr>
            <w:tcW w:w="8856.45" w:type="dxa"/>
            <w:gridSpan w:val="8"/>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Код</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назва</w:t>
            </w:r>
            <w:r>
              <w:rPr/>
              <w:t xml:space="preserve"> </w:t>
            </w:r>
            <w:r>
              <w:rPr>
                <w:rFonts w:ascii="Times New Roman" w:hAnsi="Times New Roman" w:cs="Times New Roman"/>
                <w:color w:val="#000000"/>
                <w:sz w:val="18"/>
                <w:szCs w:val="18"/>
              </w:rPr>
              <w:t>типової</w:t>
            </w:r>
            <w:r>
              <w:rPr/>
              <w:t xml:space="preserve"> </w:t>
            </w:r>
            <w:r>
              <w:rPr>
                <w:rFonts w:ascii="Times New Roman" w:hAnsi="Times New Roman" w:cs="Times New Roman"/>
                <w:color w:val="#000000"/>
                <w:sz w:val="18"/>
                <w:szCs w:val="18"/>
              </w:rPr>
              <w:t>відомчої</w:t>
            </w:r>
            <w:r>
              <w:rPr/>
              <w:t xml:space="preserve"> </w:t>
            </w:r>
            <w:r>
              <w:rPr>
                <w:rFonts w:ascii="Times New Roman" w:hAnsi="Times New Roman" w:cs="Times New Roman"/>
                <w:color w:val="#000000"/>
                <w:sz w:val="18"/>
                <w:szCs w:val="18"/>
              </w:rPr>
              <w:t>класифікації</w:t>
            </w:r>
            <w:r>
              <w:rPr/>
              <w:t xml:space="preserve"> </w:t>
            </w:r>
            <w:r>
              <w:rPr>
                <w:rFonts w:ascii="Times New Roman" w:hAnsi="Times New Roman" w:cs="Times New Roman"/>
                <w:color w:val="#000000"/>
                <w:sz w:val="18"/>
                <w:szCs w:val="18"/>
              </w:rPr>
              <w:t>видатків</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кредитування</w:t>
            </w:r>
            <w:r>
              <w:rPr/>
              <w:t xml:space="preserve"> </w:t>
            </w:r>
            <w:r>
              <w:rPr>
                <w:rFonts w:ascii="Times New Roman" w:hAnsi="Times New Roman" w:cs="Times New Roman"/>
                <w:color w:val="#000000"/>
                <w:sz w:val="18"/>
                <w:szCs w:val="18"/>
              </w:rPr>
              <w:t>місцевих</w:t>
            </w:r>
            <w:r>
              <w:rPr/>
              <w:t xml:space="preserve"> </w:t>
            </w:r>
            <w:r>
              <w:rPr>
                <w:rFonts w:ascii="Times New Roman" w:hAnsi="Times New Roman" w:cs="Times New Roman"/>
                <w:color w:val="#000000"/>
                <w:sz w:val="18"/>
                <w:szCs w:val="18"/>
              </w:rPr>
              <w:t>бюджетів</w:t>
            </w:r>
            <w:r>
              <w:rPr/>
              <w:t xml:space="preserve"> </w:t>
            </w:r>
            <w:r>
              <w:rPr>
                <w:rFonts w:ascii="Times New Roman" w:hAnsi="Times New Roman" w:cs="Times New Roman"/>
                <w:b/>
                <w:color w:val="#000000"/>
                <w:sz w:val="18"/>
                <w:szCs w:val="18"/>
              </w:rPr>
              <w:t>006</w:t>
            </w:r>
            <w:r>
              <w:rPr/>
              <w:t xml:space="preserve"> </w:t>
            </w:r>
            <w:r>
              <w:rPr>
                <w:rFonts w:ascii="Times New Roman" w:hAnsi="Times New Roman" w:cs="Times New Roman"/>
                <w:b/>
                <w:color w:val="#000000"/>
                <w:sz w:val="18"/>
                <w:szCs w:val="18"/>
              </w:rPr>
              <w:t>-</w:t>
            </w:r>
            <w:r>
              <w:rPr/>
              <w:t xml:space="preserve"> </w:t>
            </w:r>
            <w:r>
              <w:rPr>
                <w:rFonts w:ascii="Times New Roman" w:hAnsi="Times New Roman" w:cs="Times New Roman"/>
                <w:b/>
                <w:color w:val="#000000"/>
                <w:sz w:val="18"/>
                <w:szCs w:val="18"/>
              </w:rPr>
              <w:t>Орган</w:t>
            </w:r>
            <w:r>
              <w:rPr/>
              <w:t xml:space="preserve"> </w:t>
            </w:r>
            <w:r>
              <w:rPr>
                <w:rFonts w:ascii="Times New Roman" w:hAnsi="Times New Roman" w:cs="Times New Roman"/>
                <w:b/>
                <w:color w:val="#000000"/>
                <w:sz w:val="18"/>
                <w:szCs w:val="18"/>
              </w:rPr>
              <w:t>з</w:t>
            </w:r>
            <w:r>
              <w:rPr/>
              <w:t xml:space="preserve"> </w:t>
            </w:r>
            <w:r>
              <w:rPr>
                <w:rFonts w:ascii="Times New Roman" w:hAnsi="Times New Roman" w:cs="Times New Roman"/>
                <w:b/>
                <w:color w:val="#000000"/>
                <w:sz w:val="18"/>
                <w:szCs w:val="18"/>
              </w:rPr>
              <w:t>питань</w:t>
            </w:r>
            <w:r>
              <w:rPr/>
              <w:t xml:space="preserve"> </w:t>
            </w:r>
            <w:r>
              <w:rPr>
                <w:rFonts w:ascii="Times New Roman" w:hAnsi="Times New Roman" w:cs="Times New Roman"/>
                <w:b/>
                <w:color w:val="#000000"/>
                <w:sz w:val="18"/>
                <w:szCs w:val="18"/>
              </w:rPr>
              <w:t>освіти</w:t>
            </w:r>
            <w:r>
              <w:rPr/>
              <w:t xml:space="preserve"> </w:t>
            </w:r>
            <w:r>
              <w:rPr>
                <w:rFonts w:ascii="Times New Roman" w:hAnsi="Times New Roman" w:cs="Times New Roman"/>
                <w:b/>
                <w:color w:val="#000000"/>
                <w:sz w:val="18"/>
                <w:szCs w:val="18"/>
              </w:rPr>
              <w:t>і</w:t>
            </w:r>
            <w:r>
              <w:rPr/>
              <w:t xml:space="preserve"> </w:t>
            </w:r>
            <w:r>
              <w:rPr>
                <w:rFonts w:ascii="Times New Roman" w:hAnsi="Times New Roman" w:cs="Times New Roman"/>
                <w:b/>
                <w:color w:val="#000000"/>
                <w:sz w:val="18"/>
                <w:szCs w:val="18"/>
              </w:rPr>
              <w:t>науки</w:t>
            </w:r>
            <w:r>
              <w:rPr/>
              <w:t xml:space="preserve"> </w:t>
            </w:r>
          </w:p>
        </w:tc>
        <w:tc>
          <w:tcPr>
            <w:tcW w:w="447.9" w:type="dxa"/>
            <w:tcBorders>
</w:tcBorders>
            <w:shd w:val="clear" w:color="#000000" w:fill="#FFFFFF"/>
            <w:vAlign w:val="top"/>
            <w:tcMar>
              <w:top w:w="17" w:type="dxa"/>
              <w:left w:w="38" w:type="dxa"/>
              <w:bottom w:w="17" w:type="dxa"/>
              <w:right w:w="38" w:type="dxa"/>
            </w:tcMar>
          </w:tcPr>
          <w:p/>
        </w:tc>
        <w:tc>
          <w:tcPr>
            <w:tcW w:w="447.9" w:type="dxa"/>
            <w:tcBorders>
</w:tcBorders>
            <w:shd w:val="clear" w:color="#000000" w:fill="#FFFFFF"/>
            <w:vAlign w:val="top"/>
            <w:tcMar>
              <w:top w:w="17" w:type="dxa"/>
              <w:left w:w="38" w:type="dxa"/>
              <w:bottom w:w="17" w:type="dxa"/>
              <w:right w:w="38" w:type="dxa"/>
            </w:tcMar>
          </w:tcPr>
          <w:p/>
        </w:tc>
        <w:tc>
          <w:tcPr>
            <w:tcW w:w="447.9" w:type="dxa"/>
            <w:gridSpan w:val="2"/>
            <w:tcBorders>
</w:tcBorders>
            <w:shd w:val="clear" w:color="#000000" w:fill="#FFFFFF"/>
            <w:vAlign w:val="top"/>
            <w:tcMar>
              <w:top w:w="17" w:type="dxa"/>
              <w:left w:w="38" w:type="dxa"/>
              <w:bottom w:w="17" w:type="dxa"/>
              <w:right w:w="38" w:type="dxa"/>
            </w:tcMar>
          </w:tcPr>
          <w:p/>
        </w:tc>
      </w:tr>
      <w:tr>
        <w:trPr>
          <w:trHeight w:hRule="exact" w:val="449.8199"/>
        </w:trPr>
        <w:tc>
          <w:tcPr>
            <w:tcW w:w="2835" w:type="dxa"/>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Періодичність:</w:t>
            </w:r>
            <w:r>
              <w:rPr/>
              <w:t xml:space="preserve"> </w:t>
            </w:r>
            <w:r>
              <w:rPr>
                <w:rFonts w:ascii="Times New Roman" w:hAnsi="Times New Roman" w:cs="Times New Roman"/>
                <w:b/>
                <w:color w:val="#000000"/>
                <w:sz w:val="18"/>
                <w:szCs w:val="18"/>
              </w:rPr>
              <w:t>квартальна</w:t>
            </w:r>
            <w:r>
              <w:rPr/>
              <w:t xml:space="preserve"> </w:t>
            </w:r>
            <w:r>
              <w:rPr>
                <w:rFonts w:ascii="Times New Roman" w:hAnsi="Times New Roman" w:cs="Times New Roman"/>
                <w:b/>
                <w:color w:val="#000000"/>
                <w:sz w:val="18"/>
                <w:szCs w:val="18"/>
              </w:rPr>
              <w:t>(проміжна)</w:t>
            </w:r>
            <w:r>
              <w:rPr/>
              <w:t xml:space="preserve"> </w:t>
            </w:r>
          </w:p>
        </w:tc>
        <w:tc>
          <w:tcPr>
            <w:tcW w:w="4672.05" w:type="dxa"/>
            <w:gridSpan w:val="5"/>
            <w:tcBorders>
</w:tcBorders>
            <w:shd w:val="clear" w:color="#000000" w:fill="#FFFFFF"/>
            <w:vAlign w:val="center"/>
            <w:tcMar>
              <w:top w:w="17" w:type="dxa"/>
              <w:left w:w="38" w:type="dxa"/>
              <w:bottom w:w="17" w:type="dxa"/>
              <w:right w:w="38" w:type="dxa"/>
            </w:tcMar>
          </w:tcPr>
          <w:p/>
        </w:tc>
        <w:tc>
          <w:tcPr>
            <w:tcW w:w="1349.4" w:type="dxa"/>
            <w:gridSpan w:val="2"/>
            <w:tcBorders>
</w:tcBorders>
            <w:shd w:val="clear" w:color="#000000" w:fill="#FFFFFF"/>
            <w:vAlign w:val="center"/>
            <w:tcMar>
              <w:top w:w="17" w:type="dxa"/>
              <w:left w:w="38" w:type="dxa"/>
              <w:bottom w:w="17" w:type="dxa"/>
              <w:right w:w="38" w:type="dxa"/>
            </w:tcMar>
          </w:tcPr>
          <w:p/>
        </w:tc>
        <w:tc>
          <w:tcPr>
            <w:tcW w:w="447.9" w:type="dxa"/>
            <w:tcBorders>
</w:tcBorders>
            <w:shd w:val="clear" w:color="#000000" w:fill="#FFFFFF"/>
            <w:vAlign w:val="center"/>
            <w:tcMar>
              <w:top w:w="17" w:type="dxa"/>
              <w:left w:w="38" w:type="dxa"/>
              <w:bottom w:w="17" w:type="dxa"/>
              <w:right w:w="38" w:type="dxa"/>
            </w:tcMar>
          </w:tcPr>
          <w:p/>
        </w:tc>
        <w:tc>
          <w:tcPr>
            <w:tcW w:w="447.9" w:type="dxa"/>
            <w:tcBorders>
</w:tcBorders>
            <w:shd w:val="clear" w:color="#000000" w:fill="#FFFFFF"/>
            <w:vAlign w:val="center"/>
            <w:tcMar>
              <w:top w:w="17" w:type="dxa"/>
              <w:left w:w="38" w:type="dxa"/>
              <w:bottom w:w="17" w:type="dxa"/>
              <w:right w:w="38" w:type="dxa"/>
            </w:tcMar>
          </w:tcPr>
          <w:p/>
        </w:tc>
        <w:tc>
          <w:tcPr>
            <w:tcW w:w="447.9" w:type="dxa"/>
            <w:gridSpan w:val="2"/>
            <w:tcBorders>
</w:tcBorders>
            <w:shd w:val="clear" w:color="#000000" w:fill="#FFFFFF"/>
            <w:vAlign w:val="center"/>
            <w:tcMar>
              <w:top w:w="17" w:type="dxa"/>
              <w:left w:w="38" w:type="dxa"/>
              <w:bottom w:w="17" w:type="dxa"/>
              <w:right w:w="38" w:type="dxa"/>
            </w:tcMar>
          </w:tcPr>
          <w:p/>
        </w:tc>
      </w:tr>
      <w:tr>
        <w:trPr>
          <w:trHeight w:hRule="exact" w:val="302.0848"/>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448" w:type="dxa"/>
          </w:tcPr>
          <w:p/>
        </w:tc>
        <w:tc>
          <w:tcPr>
            <w:tcW w:w="448" w:type="dxa"/>
          </w:tcPr>
          <w:p/>
        </w:tc>
        <w:tc>
          <w:tcPr>
            <w:tcW w:w="170" w:type="dxa"/>
          </w:tcPr>
          <w:p/>
        </w:tc>
        <w:tc>
          <w:tcPr>
            <w:tcW w:w="278" w:type="dxa"/>
          </w:tcPr>
          <w:p/>
        </w:tc>
      </w:tr>
      <w:tr>
        <w:trPr>
          <w:trHeight w:hRule="exact" w:val="329.2799"/>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Короткий опис основної діяльності установи</w:t>
            </w:r>
          </w:p>
        </w:tc>
        <w:tc>
          <w:tcPr>
            <w:tcW w:w="283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Найменування органу, якому підпорядкована установа</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Середня чисельність працівників</w:t>
            </w:r>
          </w:p>
        </w:tc>
      </w:tr>
      <w:tr>
        <w:trPr>
          <w:trHeight w:hRule="exact" w:val="166.6984"/>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283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r>
      <w:tr>
        <w:trPr>
          <w:trHeight w:hRule="exact" w:val="329.2799"/>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Основними завданнями закладу повної загальної середньої освіти є:</w:t>
            </w:r>
          </w:p>
          <w:p>
            <w:pPr>
              <w:jc w:val="left"/>
              <w:spacing w:after="0" w:line="150" w:lineRule="auto"/>
              <w:rPr>
                <w:sz w:val="12"/>
                <w:szCs w:val="12"/>
              </w:rPr>
            </w:pPr>
            <w:r>
              <w:rPr>
                <w:rFonts w:ascii="Times New Roman" w:hAnsi="Times New Roman" w:cs="Times New Roman"/>
                <w:color w:val="#000000"/>
                <w:sz w:val="12"/>
                <w:szCs w:val="12"/>
              </w:rPr>
              <w:t> - забезпечення реалізації  прав громадян на здобуття повної   загальної середньої освіти</w:t>
            </w:r>
          </w:p>
        </w:tc>
        <w:tc>
          <w:tcPr>
            <w:tcW w:w="2835" w:type="dxa"/>
            <w:gridSpan w:val="3"/>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Сектор  освіти Нижньосірогозької  районної державної адміністрації</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34</w:t>
            </w:r>
          </w:p>
        </w:tc>
      </w:tr>
      <w:tr>
        <w:trPr>
          <w:trHeight w:hRule="exact" w:val="277.8299"/>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448" w:type="dxa"/>
          </w:tcPr>
          <w:p/>
        </w:tc>
        <w:tc>
          <w:tcPr>
            <w:tcW w:w="448" w:type="dxa"/>
          </w:tcPr>
          <w:p/>
        </w:tc>
        <w:tc>
          <w:tcPr>
            <w:tcW w:w="170" w:type="dxa"/>
          </w:tcPr>
          <w:p/>
        </w:tc>
        <w:tc>
          <w:tcPr>
            <w:tcW w:w="278" w:type="dxa"/>
          </w:tcPr>
          <w:p/>
        </w:tc>
      </w:tr>
      <w:tr>
        <w:trPr>
          <w:trHeight w:hRule="exact" w:val="465.40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Дебіторської заборгованості, у тому числі простроченої, за розрахунками з бюджетом, по заробітній платі, оплаті комунальних послуг та  енергоносіїв станом на 01 липня 2020 року немає.</w:t>
            </w:r>
          </w:p>
        </w:tc>
      </w:tr>
      <w:tr>
        <w:trPr>
          <w:trHeight w:hRule="exact" w:val="465.40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Станом на 01 липня 2020 року зареєстрована кредиторська заборгованість становить  21599 грн. 56 коп. в тому числі: КЕКВ 2111 – 16108 грн. 22 коп., КЕКВ 2120-5491 грн. 34 коп.</w:t>
            </w:r>
          </w:p>
        </w:tc>
      </w:tr>
      <w:tr>
        <w:trPr>
          <w:trHeight w:hRule="exact" w:val="240.0508"/>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Простроченої дебіторської та кредиторської  заборгованості  станом на 01 липня 2020 року  немає.</w:t>
            </w:r>
          </w:p>
        </w:tc>
      </w:tr>
      <w:tr>
        <w:trPr>
          <w:trHeight w:hRule="exact" w:val="465.40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Простроченої кредиторської заборгованості за кодами економічної класифікації видатків 2110, 2270 станом на 01 липня 2020 року  немає.</w:t>
            </w:r>
          </w:p>
        </w:tc>
      </w:tr>
      <w:tr>
        <w:trPr>
          <w:trHeight w:hRule="exact" w:val="465.40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Кредиторської заборгованості за бюджетними зобов'язаннями, не взятими на облік органами Казначейства  за бюджетними коштами станом на 01 липня 2020 року немає.</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Простроченої кредиторської заборгованості станом на  01 липня  2020 року немає.</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Взяття зобов'язань без відповідних бюджетних асигнувань або з перевищенням повноважень не здійснюється.</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Дебіторської та кредиторської заборгованості  за бюджетними програмами станом на 01 липня 2020 року немає</w:t>
            </w:r>
          </w:p>
        </w:tc>
      </w:tr>
      <w:tr>
        <w:trPr>
          <w:trHeight w:hRule="exact" w:val="240.0521"/>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Протягом І  півріччя 2020  року відкриття  асигнувань не проводилося.</w:t>
            </w:r>
          </w:p>
        </w:tc>
      </w:tr>
      <w:tr>
        <w:trPr>
          <w:trHeight w:hRule="exact" w:val="240.0504"/>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Залишку коштів на реєстраційному рахунку станом на 01 липня  2020 року немає.</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Протокола про порушення бюджетного законодавства, складеного органами  Казначейства, та порушення бюджетного законодавства  не складався.</w:t>
            </w:r>
          </w:p>
        </w:tc>
      </w:tr>
      <w:tr>
        <w:trPr>
          <w:trHeight w:hRule="exact" w:val="240.0521"/>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І півріччі  2020 року ліквідація, приєднання та створення  структурних одиниць не здійснювалося.</w:t>
            </w:r>
          </w:p>
        </w:tc>
      </w:tr>
      <w:tr>
        <w:trPr>
          <w:trHeight w:hRule="exact" w:val="240.0504"/>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Відкритих поточних рахунків в установах  банків немає.</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Вербівський заклад ПЗСО  є неприбутковою установою та немає рахунку у системі електронного адміністрування податку на додану вартість</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Відхилення  показників  квартальної бюджетної звітності від аналогічних показників бюджетної звітності за минулий рік пояснюється такими чинниками:</w:t>
            </w:r>
          </w:p>
        </w:tc>
      </w:tr>
      <w:tr>
        <w:trPr>
          <w:trHeight w:hRule="exact" w:val="465.4025"/>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-підвищення рівня мінімальної заробітної плати та   заробітної  плати педагогічним працівникам з  01 січня 2020  року;</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-збільшення видатків на утримання навчального закладу.</w:t>
            </w:r>
          </w:p>
        </w:tc>
      </w:tr>
      <w:tr>
        <w:trPr>
          <w:trHeight w:hRule="exact" w:val="916.251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Відповідно до  Звіту про надходження та використання коштів загального фонду (форма № 2м) відображена загальна сума отриманого фінансування  в розмірі  26771150 грн. 65 коп., в тому числі: суми коштів загального фонду, отриманих для здійснення видатків – 26771150  грн. 65 коп. Касові видатки  склали – 2676755 грн. 77 коп. Залишок коштів на реєстраційному рахунку станом на 01 липня  2020 року -394 грн. 88 коп.</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Форма  № 4-1м “Звіт про надходження і використання коштів, отриманих як плата за послуги":</w:t>
            </w:r>
          </w:p>
        </w:tc>
      </w:tr>
      <w:tr>
        <w:trPr>
          <w:trHeight w:hRule="exact" w:val="916.2504"/>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 у графі “Надійшло коштів за звітний період (рік) (грн..)” відображена сума  17550 грн. 00 коп., що складається  із  суми коштів спеціального фонду, отриманих як плата за послуги, що надаються бюджетними установами згідно з їх основною діяльністю - 17550 грн. 00 коп. Залишок коштів на спеціальному реєстраційному рахунку станом на 01 квітня 2020 року  становить -35899 грн. 17 коп.</w:t>
            </w:r>
          </w:p>
        </w:tc>
      </w:tr>
      <w:tr>
        <w:trPr>
          <w:trHeight w:hRule="exact" w:val="1166.886"/>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1134" w:type="dxa"/>
            <w:gridSpan w:val="3"/>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11"/>
                          <a:stretch>
                            <a:fillRect/>
                          </a:stretch>
                        </pic:blipFill>
                        <pic:spPr>
                          <a:xfrm>
                            <a:off x="0" y="0"/>
                            <a:ext cx="720000" cy="720000"/>
                          </a:xfrm>
                          <a:prstGeom prst="rect">
                            <a:avLst/>
                          </a:prstGeom>
                        </pic:spPr>
                      </pic:pic>
                    </a:graphicData>
                  </a:graphic>
                </wp:inline>
              </w:drawing>
            </w:r>
          </w:p>
        </w:tc>
        <w:tc>
          <w:tcPr>
            <w:tcW w:w="278" w:type="dxa"/>
          </w:tcPr>
          <w:p/>
        </w:tc>
      </w:tr>
      <w:tr>
        <w:trPr>
          <w:trHeight w:hRule="exact" w:val="234.9066"/>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448" w:type="dxa"/>
          </w:tcPr>
          <w:p/>
        </w:tc>
        <w:tc>
          <w:tcPr>
            <w:tcW w:w="448" w:type="dxa"/>
          </w:tcPr>
          <w:p/>
        </w:tc>
        <w:tc>
          <w:tcPr>
            <w:tcW w:w="170" w:type="dxa"/>
          </w:tcPr>
          <w:p/>
        </w:tc>
        <w:tc>
          <w:tcPr>
            <w:tcW w:w="278" w:type="dxa"/>
          </w:tcPr>
          <w:p/>
        </w:tc>
      </w:tr>
      <w:tr>
        <w:trPr>
          <w:trHeight w:hRule="exact" w:val="277.8304"/>
        </w:trPr>
        <w:tc>
          <w:tcPr>
            <w:tcW w:w="34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202000000019774448</w:t>
            </w:r>
          </w:p>
        </w:tc>
        <w:tc>
          <w:tcPr>
            <w:tcW w:w="1032.75" w:type="dxa"/>
            <w:tcBorders>
              <w:top w:val="double" w:sz="8" w:space="0" w:color="#D3D3D3"/>
            </w:tcBorders>
            <w:shd w:val="clear" w:color="#D3D3D3" w:fill="#FFFFFF"/>
            <w:vAlign w:val="center"/>
            <w:tcMar>
              <w:top w:w="17" w:type="dxa"/>
              <w:left w:w="38" w:type="dxa"/>
              <w:bottom w:w="17" w:type="dxa"/>
              <w:right w:w="38" w:type="dxa"/>
            </w:tcMar>
          </w:tcPr>
          <w:p/>
        </w:tc>
        <w:tc>
          <w:tcPr>
            <w:tcW w:w="2167.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tcBorders>
              <w:top w:val="double" w:sz="8" w:space="0" w:color="#D3D3D3"/>
            </w:tcBorders>
            <w:shd w:val="clear" w:color="#D3D3D3" w:fill="#FFFFFF"/>
            <w:vAlign w:val="center"/>
            <w:tcMar>
              <w:top w:w="17" w:type="dxa"/>
              <w:left w:w="38" w:type="dxa"/>
              <w:bottom w:w="17" w:type="dxa"/>
              <w:right w:w="38" w:type="dxa"/>
            </w:tcMar>
          </w:tcPr>
          <w:p/>
        </w:tc>
        <w:tc>
          <w:tcPr>
            <w:tcW w:w="2758.05" w:type="dxa"/>
            <w:gridSpan w:val="6"/>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1 з 2</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67"/>
        <w:gridCol w:w="992"/>
        <w:gridCol w:w="737"/>
        <w:gridCol w:w="1146"/>
        <w:gridCol w:w="203"/>
        <w:gridCol w:w="830"/>
        <w:gridCol w:w="520"/>
        <w:gridCol w:w="1349"/>
        <w:gridCol w:w="298"/>
        <w:gridCol w:w="805"/>
        <w:gridCol w:w="246"/>
        <w:gridCol w:w="1095"/>
        <w:gridCol w:w="255"/>
        <w:gridCol w:w="760"/>
        <w:gridCol w:w="403"/>
      </w:tblGrid>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Форма № 4-2м “Звіт про надходження і використання коштів, отриманих  за іншими джерелами власних надходжень":</w:t>
            </w:r>
          </w:p>
        </w:tc>
      </w:tr>
      <w:tr>
        <w:trPr>
          <w:trHeight w:hRule="exact" w:val="916.251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графі “Надійшло коштів за звітний період (рік) (грн.)” відображена сума  6400 грн. 00 коп., яка складається із суми коштів спеціального фонду, від отриманих благодійних внесків, грантів та дарунків – 6400 грн.  Залишок коштів на спеціальному реєстраційному рахунку станом на 01 липня 2020 року  становить -2230 грн. 71 коп.</w:t>
            </w:r>
          </w:p>
        </w:tc>
      </w:tr>
      <w:tr>
        <w:trPr>
          <w:trHeight w:hRule="exact" w:val="465.4018"/>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Форма № 4-3м “Звіт про надходження і використання коштів, інших  надходжень спеціального фонду"   за КТВКБМС 0611020:</w:t>
            </w:r>
          </w:p>
        </w:tc>
      </w:tr>
      <w:tr>
        <w:trPr>
          <w:trHeight w:hRule="exact" w:val="916.251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графі “Надійшло коштів за звітний період (рік)” відображена сума  14310 грн. 00 коп., яка складається із бюджетних асигнувань цільового фінансування, яке відноситься до інших надходжень спеціального фонду (крім власних надходжень), що включається до вартості основних засобів (придбання комп’ютерної техніки).  Залишку коштів на спеціальному реєстраційному рахунку немає.</w:t>
            </w:r>
          </w:p>
        </w:tc>
      </w:tr>
      <w:tr>
        <w:trPr>
          <w:trHeight w:hRule="exact" w:val="240.0508"/>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Фінансовий результат діяльності Звіту про фінансові результати діяльності (Форма № 2-дс):</w:t>
            </w:r>
          </w:p>
        </w:tc>
      </w:tr>
      <w:tr>
        <w:trPr>
          <w:trHeight w:hRule="exact" w:val="240.05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Доходи:</w:t>
            </w:r>
          </w:p>
        </w:tc>
      </w:tr>
      <w:tr>
        <w:trPr>
          <w:trHeight w:hRule="exact" w:val="916.25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2010 “Бюджетні асигнування ” частини І. Фінансовий результат діяльності відображена сума 2602304 грн. без врахування  отриманих асигнувань на придбання  МНМА вилученого з бюджетних асигнувань цільового фінансування на суму поточних витрат, що включаються до вартості об’єкта необоротних активів (шкільні меблі, засоби навчання комп’ютерне обладнання) – 74847  грн.  (КЕКВ 2210-НУШ)</w:t>
            </w:r>
          </w:p>
        </w:tc>
      </w:tr>
      <w:tr>
        <w:trPr>
          <w:trHeight w:hRule="exact" w:val="690.9"/>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2020 “Доходи від надання послуг (виконання робіт)” частини І. Фінансовий результат діяльності відображена сума 17550 грн. без врахування  отриманих асигнувань на придбання  основних засобів та МНМА:плата за послуги, що надаються бюджетною установою згідно з їх основною діяльністю – 17550 грн.</w:t>
            </w:r>
          </w:p>
        </w:tc>
      </w:tr>
      <w:tr>
        <w:trPr>
          <w:trHeight w:hRule="exact" w:val="240.0508"/>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Витрати:</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2210 «Витрати на виконання бюджетних програм» відображена сума фактичних витрат  – 2776146 грн.</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 у рядку 2220 «Витрати на виготовлення продукції (надання послуг, виконання робіт)» відображена сума – 10686 грн.</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2390 «Профіцит/дефіцит за звітний період» відображено  дефіцит  бюджету, що  становить   (- 166978) грн.</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Фінансовий результат станом на 01.07.2020 року  становить (-1958717 грн.) (графа 4 рядка 1420 “Фінансовий результат” Пасиву Балансу (форма № 1-дс).</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звітному періоді  збільшено основні засоби на суму 14310 грн. та МНМА на суму 82829 грн. в т.ч. безоплатне надходження підручників – 1582 грн. та за рахунок   благодійних внесків, грантів – 6400 грн.</w:t>
            </w:r>
          </w:p>
        </w:tc>
      </w:tr>
      <w:tr>
        <w:trPr>
          <w:trHeight w:hRule="exact" w:val="240.0508"/>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Нарахований знос  у І півріччі 202  року становить -41415 грн.</w:t>
            </w:r>
          </w:p>
        </w:tc>
      </w:tr>
      <w:tr>
        <w:trPr>
          <w:trHeight w:hRule="exact" w:val="240.0513"/>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Списання основних засобів та МНМА у І півріччі 2020 року не проводилося.</w:t>
            </w:r>
          </w:p>
        </w:tc>
      </w:tr>
      <w:tr>
        <w:trPr>
          <w:trHeight w:hRule="exact" w:val="690.9"/>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формі № 1-ДС  відображено  кредиторську заборгованість по заробітній платі станом на 01 липня 2020 року в сумі 21599 грн. (в розрізі видів  заборгованості за платежами до бюджету рядок 1540 – 6990 грн., розрахунки з оплати праці рядок 1560 – 9118 грн., розрахунки із соціального страхування рядок 1565 – 5491 грн.).</w:t>
            </w: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1729.35" w:type="dxa"/>
            <w:gridSpan w:val="2"/>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Керівник</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2698.8"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Білокриницька ОМ</w:t>
            </w: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3078.7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Головний бухгалтер (керівник ССП)</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2698.8"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Чістякова ІГ</w:t>
            </w: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3078.7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color w:val="#000000"/>
                <w:sz w:val="18"/>
                <w:szCs w:val="18"/>
              </w:rPr>
              <w:t> " 13 " липня 2020р.</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1166.886"/>
        </w:trPr>
        <w:tc>
          <w:tcPr>
            <w:tcW w:w="567" w:type="dxa"/>
          </w:tcPr>
          <w:p/>
        </w:tc>
        <w:tc>
          <w:tcPr>
            <w:tcW w:w="992" w:type="dxa"/>
          </w:tcPr>
          <w:p/>
        </w:tc>
        <w:tc>
          <w:tcPr>
            <w:tcW w:w="737" w:type="dxa"/>
          </w:tcPr>
          <w:p/>
        </w:tc>
        <w:tc>
          <w:tcPr>
            <w:tcW w:w="1146" w:type="dxa"/>
          </w:tcPr>
          <w:p/>
        </w:tc>
        <w:tc>
          <w:tcPr>
            <w:tcW w:w="203" w:type="dxa"/>
          </w:tcPr>
          <w:p/>
        </w:tc>
        <w:tc>
          <w:tcPr>
            <w:tcW w:w="830" w:type="dxa"/>
          </w:tcPr>
          <w:p/>
        </w:tc>
        <w:tc>
          <w:tcPr>
            <w:tcW w:w="520" w:type="dxa"/>
          </w:tcPr>
          <w:p/>
        </w:tc>
        <w:tc>
          <w:tcPr>
            <w:tcW w:w="1349" w:type="dxa"/>
          </w:tcPr>
          <w:p/>
        </w:tc>
        <w:tc>
          <w:tcPr>
            <w:tcW w:w="298" w:type="dxa"/>
          </w:tcPr>
          <w:p/>
        </w:tc>
        <w:tc>
          <w:tcPr>
            <w:tcW w:w="805" w:type="dxa"/>
          </w:tcPr>
          <w:p/>
        </w:tc>
        <w:tc>
          <w:tcPr>
            <w:tcW w:w="246" w:type="dxa"/>
          </w:tcPr>
          <w:p/>
        </w:tc>
        <w:tc>
          <w:tcPr>
            <w:tcW w:w="1095"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2" name="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pic:cNvPicPr/>
                        </pic:nvPicPr>
                        <pic:blipFill>
                          <a:blip r:embed="rId12"/>
                          <a:stretch>
                            <a:fillRect/>
                          </a:stretch>
                        </pic:blipFill>
                        <pic:spPr>
                          <a:xfrm>
                            <a:off x="0" y="0"/>
                            <a:ext cx="720000" cy="720000"/>
                          </a:xfrm>
                          <a:prstGeom prst="rect">
                            <a:avLst/>
                          </a:prstGeom>
                        </pic:spPr>
                      </pic:pic>
                    </a:graphicData>
                  </a:graphic>
                </wp:inline>
              </w:drawing>
            </w:r>
          </w:p>
        </w:tc>
        <w:tc>
          <w:tcPr>
            <w:tcW w:w="403" w:type="dxa"/>
          </w:tcPr>
          <w:p/>
        </w:tc>
      </w:tr>
      <w:tr>
        <w:trPr>
          <w:trHeight w:hRule="exact" w:val="3413.635"/>
        </w:trPr>
        <w:tc>
          <w:tcPr>
            <w:tcW w:w="567" w:type="dxa"/>
          </w:tcPr>
          <w:p/>
        </w:tc>
        <w:tc>
          <w:tcPr>
            <w:tcW w:w="992" w:type="dxa"/>
          </w:tcPr>
          <w:p/>
        </w:tc>
        <w:tc>
          <w:tcPr>
            <w:tcW w:w="737" w:type="dxa"/>
          </w:tcPr>
          <w:p/>
        </w:tc>
        <w:tc>
          <w:tcPr>
            <w:tcW w:w="1146" w:type="dxa"/>
          </w:tcPr>
          <w:p/>
        </w:tc>
        <w:tc>
          <w:tcPr>
            <w:tcW w:w="203" w:type="dxa"/>
          </w:tcPr>
          <w:p/>
        </w:tc>
        <w:tc>
          <w:tcPr>
            <w:tcW w:w="830" w:type="dxa"/>
          </w:tcPr>
          <w:p/>
        </w:tc>
        <w:tc>
          <w:tcPr>
            <w:tcW w:w="520" w:type="dxa"/>
          </w:tcPr>
          <w:p/>
        </w:tc>
        <w:tc>
          <w:tcPr>
            <w:tcW w:w="1349" w:type="dxa"/>
          </w:tcPr>
          <w:p/>
        </w:tc>
        <w:tc>
          <w:tcPr>
            <w:tcW w:w="298" w:type="dxa"/>
          </w:tcPr>
          <w:p/>
        </w:tc>
        <w:tc>
          <w:tcPr>
            <w:tcW w:w="805" w:type="dxa"/>
          </w:tcPr>
          <w:p/>
        </w:tc>
        <w:tc>
          <w:tcPr>
            <w:tcW w:w="246" w:type="dxa"/>
          </w:tcPr>
          <w:p/>
        </w:tc>
        <w:tc>
          <w:tcPr>
            <w:tcW w:w="1095" w:type="dxa"/>
          </w:tcPr>
          <w:p/>
        </w:tc>
        <w:tc>
          <w:tcPr>
            <w:tcW w:w="255" w:type="dxa"/>
          </w:tcPr>
          <w:p/>
        </w:tc>
        <w:tc>
          <w:tcPr>
            <w:tcW w:w="760" w:type="dxa"/>
          </w:tcPr>
          <w:p/>
        </w:tc>
        <w:tc>
          <w:tcPr>
            <w:tcW w:w="403" w:type="dxa"/>
          </w:tcPr>
          <w:p/>
        </w:tc>
      </w:tr>
      <w:tr>
        <w:trPr>
          <w:trHeight w:hRule="exact" w:val="277.8304"/>
        </w:trPr>
        <w:tc>
          <w:tcPr>
            <w:tcW w:w="3442.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202000000019774448</w:t>
            </w:r>
          </w:p>
        </w:tc>
        <w:tc>
          <w:tcPr>
            <w:tcW w:w="1032.75" w:type="dxa"/>
            <w:gridSpan w:val="2"/>
            <w:tcBorders>
              <w:top w:val="double" w:sz="8" w:space="0" w:color="#D3D3D3"/>
            </w:tcBorders>
            <w:shd w:val="clear" w:color="#D3D3D3" w:fill="#FFFFFF"/>
            <w:vAlign w:val="center"/>
            <w:tcMar>
              <w:top w:w="17" w:type="dxa"/>
              <w:left w:w="38" w:type="dxa"/>
              <w:bottom w:w="17" w:type="dxa"/>
              <w:right w:w="38" w:type="dxa"/>
            </w:tcMar>
          </w:tcPr>
          <w:p/>
        </w:tc>
        <w:tc>
          <w:tcPr>
            <w:tcW w:w="2167.5" w:type="dxa"/>
            <w:gridSpan w:val="3"/>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tcBorders>
              <w:top w:val="double" w:sz="8" w:space="0" w:color="#D3D3D3"/>
            </w:tcBorders>
            <w:shd w:val="clear" w:color="#D3D3D3" w:fill="#FFFFFF"/>
            <w:vAlign w:val="center"/>
            <w:tcMar>
              <w:top w:w="17" w:type="dxa"/>
              <w:left w:w="38" w:type="dxa"/>
              <w:bottom w:w="17" w:type="dxa"/>
              <w:right w:w="38" w:type="dxa"/>
            </w:tcMar>
          </w:tcPr>
          <w:p/>
        </w:tc>
        <w:tc>
          <w:tcPr>
            <w:tcW w:w="2758.05" w:type="dxa"/>
            <w:gridSpan w:val="5"/>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2 з 2</w:t>
            </w:r>
          </w:p>
        </w:tc>
      </w:tr>
    </w:tbl>
    <w:p/>
    <w:sectPr>
      <w:pgSz w:w="11907" w:h="16840"/>
      <w:pgMar w:top="567" w:right="567" w:bottom="5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31453"/>
    <w:rsid w:val="0002418B"/>
    <w:rsid w:val="001F0BC7"/>
    <w:rsid w:val="00D31453"/>
    <w:rsid w:val="00E20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_rels/document.xml.rels><?xml version="1.0" encoding="UTF-8" standalone="yes"?>
<Relationships xmlns="http://schemas.openxmlformats.org/package/2006/relationships">
<Relationship Id="rId1" Type="http://schemas.openxmlformats.org/officeDocument/2006/relationships/settings" Target="settings.xml" />
<Relationship Id="rId2" Type="http://schemas.openxmlformats.org/officeDocument/2006/relationships/styles" Target="styles.xml" />
<Relationship Id="rId3" Type="http://schemas.openxmlformats.org/officeDocument/2006/relationships/fontTable" Target="fontTable.xml" />
<Relationship Id="rId11" Type="http://schemas.openxmlformats.org/officeDocument/2006/relationships/image" Target="media/image1.png" />
<Relationship Id="rId12" Type="http://schemas.openxmlformats.org/officeDocument/2006/relationships/image" Target="media/image2.png" />
</Relationships>

</file>

<file path=docProps/app.xml><?xml version="1.0" encoding="utf-8"?>
<Properties xmlns="http://schemas.openxmlformats.org/officeDocument/2006/extended-properties" xmlns:vt="http://schemas.openxmlformats.org/officeDocument/2006/docPropsVTypes">
  <DocSecurity>0</DocSecurity>
  <ScaleCrop>false</ScaleCrop>
  <HeadingPairs>
    <vt:vector size="2" baseType="variant">
      <vt:variant>
        <vt:lpstr>Worksheets</vt:lpstr>
      </vt:variant>
      <vt:variant>
        <vt:i4>2</vt:i4>
      </vt:variant>
    </vt:vector>
  </HeadingPairs>
  <TitlesOfParts>
    <vt:vector size="1" baseType="lpstr">
      <vt:lpstr>Лист1</vt:lpstr>
    </vt:vector>
  </TitlesOfParts>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2009-06-17T07:33:19Z</dcterms:created>
  <dc:title>Form_f_d10</dc:title>
  <dc:creator>FastReport.NET</dc:creator>
</cp:coreProperties>
</file>