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07"/>
        <w:gridCol w:w="1031"/>
        <w:gridCol w:w="1193"/>
        <w:gridCol w:w="971"/>
        <w:gridCol w:w="862"/>
        <w:gridCol w:w="997"/>
        <w:gridCol w:w="350"/>
        <w:gridCol w:w="472"/>
        <w:gridCol w:w="448"/>
        <w:gridCol w:w="240"/>
        <w:gridCol w:w="278"/>
      </w:tblGrid>
      <w:tr w:rsidR="00852CC9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</w:tr>
      <w:tr w:rsidR="00852CC9">
        <w:trPr>
          <w:trHeight w:hRule="exact" w:val="478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852CC9">
        <w:trPr>
          <w:trHeight w:hRule="exact" w:val="277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2019 рік</w:t>
            </w:r>
          </w:p>
        </w:tc>
      </w:tr>
      <w:tr w:rsidR="00852CC9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</w:t>
            </w:r>
          </w:p>
        </w:tc>
      </w:tr>
      <w:tr w:rsidR="00852CC9">
        <w:trPr>
          <w:trHeight w:hRule="exact" w:val="674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Вербівський заклад повної загальної середньої освіти Вербівської сільської ради  Нижньосірогозького району Херсонської області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ЄДРПОУ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24951473</w:t>
            </w:r>
          </w:p>
        </w:tc>
      </w:tr>
      <w:tr w:rsidR="00852CC9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Верби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КОАТУУ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6523880501</w:t>
            </w:r>
          </w:p>
        </w:tc>
      </w:tr>
      <w:tr w:rsidR="00852CC9">
        <w:trPr>
          <w:trHeight w:hRule="exact" w:val="44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КОПФГ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852CC9">
        <w:trPr>
          <w:trHeight w:hRule="exact" w:val="449"/>
        </w:trPr>
        <w:tc>
          <w:tcPr>
            <w:tcW w:w="8856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46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</w:t>
            </w:r>
          </w:p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</w:tr>
      <w:tr w:rsidR="00852CC9">
        <w:trPr>
          <w:trHeight w:hRule="exact" w:val="302"/>
        </w:trPr>
        <w:tc>
          <w:tcPr>
            <w:tcW w:w="2835" w:type="dxa"/>
          </w:tcPr>
          <w:p w:rsidR="00852CC9" w:rsidRDefault="00852CC9"/>
        </w:tc>
        <w:tc>
          <w:tcPr>
            <w:tcW w:w="608" w:type="dxa"/>
          </w:tcPr>
          <w:p w:rsidR="00852CC9" w:rsidRDefault="00852CC9"/>
        </w:tc>
        <w:tc>
          <w:tcPr>
            <w:tcW w:w="1033" w:type="dxa"/>
          </w:tcPr>
          <w:p w:rsidR="00852CC9" w:rsidRDefault="00852CC9"/>
        </w:tc>
        <w:tc>
          <w:tcPr>
            <w:tcW w:w="1195" w:type="dxa"/>
          </w:tcPr>
          <w:p w:rsidR="00852CC9" w:rsidRDefault="00852CC9"/>
        </w:tc>
        <w:tc>
          <w:tcPr>
            <w:tcW w:w="973" w:type="dxa"/>
          </w:tcPr>
          <w:p w:rsidR="00852CC9" w:rsidRDefault="00852CC9"/>
        </w:tc>
        <w:tc>
          <w:tcPr>
            <w:tcW w:w="864" w:type="dxa"/>
          </w:tcPr>
          <w:p w:rsidR="00852CC9" w:rsidRDefault="00852CC9"/>
        </w:tc>
        <w:tc>
          <w:tcPr>
            <w:tcW w:w="998" w:type="dxa"/>
          </w:tcPr>
          <w:p w:rsidR="00852CC9" w:rsidRDefault="00852CC9"/>
        </w:tc>
        <w:tc>
          <w:tcPr>
            <w:tcW w:w="351" w:type="dxa"/>
          </w:tcPr>
          <w:p w:rsidR="00852CC9" w:rsidRDefault="00852CC9"/>
        </w:tc>
        <w:tc>
          <w:tcPr>
            <w:tcW w:w="448" w:type="dxa"/>
          </w:tcPr>
          <w:p w:rsidR="00852CC9" w:rsidRDefault="00852CC9"/>
        </w:tc>
        <w:tc>
          <w:tcPr>
            <w:tcW w:w="448" w:type="dxa"/>
          </w:tcPr>
          <w:p w:rsidR="00852CC9" w:rsidRDefault="00852CC9"/>
        </w:tc>
        <w:tc>
          <w:tcPr>
            <w:tcW w:w="170" w:type="dxa"/>
          </w:tcPr>
          <w:p w:rsidR="00852CC9" w:rsidRDefault="00852CC9"/>
        </w:tc>
        <w:tc>
          <w:tcPr>
            <w:tcW w:w="278" w:type="dxa"/>
          </w:tcPr>
          <w:p w:rsidR="00852CC9" w:rsidRDefault="00852CC9"/>
        </w:tc>
      </w:tr>
      <w:tr w:rsidR="00852CC9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Pr="00DD4BCB" w:rsidRDefault="00DD4BCB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D4BC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Короткий опис основної діяльності установи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Pr="00DD4BCB" w:rsidRDefault="00DD4BCB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D4BCB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Найменування органу, якому підпорядкована установа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 чисельність працівників</w:t>
            </w:r>
          </w:p>
        </w:tc>
      </w:tr>
      <w:tr w:rsidR="00852CC9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852CC9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DD4BCB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Основними завданнями закладу повної загальної середньої освіти є:</w:t>
            </w:r>
          </w:p>
          <w:p w:rsidR="00852CC9" w:rsidRPr="00DD4BCB" w:rsidRDefault="00DD4BCB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 xml:space="preserve">- забезпечення реалізації  прав громадян на </w:t>
            </w:r>
            <w:r w:rsidRPr="00DD4BCB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здобуття повної   загальної середньої освіти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DD4BCB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Відділ освіти, молоді та спорту Нижньосірогозької районної державної адміністрації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DD4BCB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</w:t>
            </w:r>
          </w:p>
        </w:tc>
      </w:tr>
      <w:tr w:rsidR="00852CC9">
        <w:trPr>
          <w:trHeight w:hRule="exact" w:val="277"/>
        </w:trPr>
        <w:tc>
          <w:tcPr>
            <w:tcW w:w="2835" w:type="dxa"/>
          </w:tcPr>
          <w:p w:rsidR="00852CC9" w:rsidRDefault="00852CC9"/>
        </w:tc>
        <w:tc>
          <w:tcPr>
            <w:tcW w:w="608" w:type="dxa"/>
          </w:tcPr>
          <w:p w:rsidR="00852CC9" w:rsidRDefault="00852CC9"/>
        </w:tc>
        <w:tc>
          <w:tcPr>
            <w:tcW w:w="1033" w:type="dxa"/>
          </w:tcPr>
          <w:p w:rsidR="00852CC9" w:rsidRDefault="00852CC9"/>
        </w:tc>
        <w:tc>
          <w:tcPr>
            <w:tcW w:w="1195" w:type="dxa"/>
          </w:tcPr>
          <w:p w:rsidR="00852CC9" w:rsidRDefault="00852CC9"/>
        </w:tc>
        <w:tc>
          <w:tcPr>
            <w:tcW w:w="973" w:type="dxa"/>
          </w:tcPr>
          <w:p w:rsidR="00852CC9" w:rsidRDefault="00852CC9"/>
        </w:tc>
        <w:tc>
          <w:tcPr>
            <w:tcW w:w="864" w:type="dxa"/>
          </w:tcPr>
          <w:p w:rsidR="00852CC9" w:rsidRDefault="00852CC9"/>
        </w:tc>
        <w:tc>
          <w:tcPr>
            <w:tcW w:w="998" w:type="dxa"/>
          </w:tcPr>
          <w:p w:rsidR="00852CC9" w:rsidRDefault="00852CC9"/>
        </w:tc>
        <w:tc>
          <w:tcPr>
            <w:tcW w:w="351" w:type="dxa"/>
          </w:tcPr>
          <w:p w:rsidR="00852CC9" w:rsidRDefault="00852CC9"/>
        </w:tc>
        <w:tc>
          <w:tcPr>
            <w:tcW w:w="448" w:type="dxa"/>
          </w:tcPr>
          <w:p w:rsidR="00852CC9" w:rsidRDefault="00852CC9"/>
        </w:tc>
        <w:tc>
          <w:tcPr>
            <w:tcW w:w="448" w:type="dxa"/>
          </w:tcPr>
          <w:p w:rsidR="00852CC9" w:rsidRDefault="00852CC9"/>
        </w:tc>
        <w:tc>
          <w:tcPr>
            <w:tcW w:w="170" w:type="dxa"/>
          </w:tcPr>
          <w:p w:rsidR="00852CC9" w:rsidRDefault="00852CC9"/>
        </w:tc>
        <w:tc>
          <w:tcPr>
            <w:tcW w:w="278" w:type="dxa"/>
          </w:tcPr>
          <w:p w:rsidR="00852CC9" w:rsidRDefault="00852CC9"/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Дебіторської та кредиторської  заборгованості, у тому числі простроченої, за розрахунками з бюджетом, по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заробітній платі, оплаті комунальних послуг та  енергоносіїв станом на 01 січня  2020 року  немає.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Простроченої дебіторської та кредиторської  заборгованості  станом на 01січня 2020 року  немає.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Простроченої кредиторської заборгованості за кодами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економічної класифікації видатків 2110, 2270 станом на 01 січня    2020 року  немає.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Кредиторської заборгованості за бюджетними зобов'язаннями, не взятими на облік органами Казначейства  за бюджетними коштами станом на 01січня  2020 року немає.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Простроче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ної кредиторської заборгованості станом на  01 січня   2020 року немає.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Взяття зобов'язань без відповідних бюджетних асигнувань або з перевищенням повноважень не здійснюється.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Дебіторської та кредиторської заборгованості  за бюджетними програмами станом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 01 січня   2020 року немає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Протягом 2019  року відкриття  асигнувань не проводилося.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Залишку коштів на реєстраційному рахунку станом на 01 січня   2020 року немає.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Протокола про порушення бюджетного законодавства, складеного органами  Казначейства, т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 порушення бюджетного законодавства  не складався.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 звітному періоді 2019 року ліквідація, приєднання та створення  структурних одиниць не здійснювалося.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Відкритих поточних рахунків в установах  банків немає.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Вербівський заклад ПЗСО  є неприбутковою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установою та немає рахунку у системі електронного адміністрування податку на додану вартість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Відхилення  показників  квартальної бюджетної звітності від аналогічних показників бюджетної звітності за минулий рік пояснюється такими чинниками: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-підвищення р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івня мінімальної заробітної плати та   заробітної  плати педагогічним працівникам з  01 січня 2019 року;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-збільшення видатків на утримання навчального закладу.</w:t>
            </w:r>
          </w:p>
        </w:tc>
      </w:tr>
      <w:tr w:rsidR="00852CC9" w:rsidRPr="00DD4BCB">
        <w:trPr>
          <w:trHeight w:hRule="exact" w:val="916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Відповідно до  Звіту про надходження та використання коштів загального фонду (форма № 2м) відо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бражена загальна сума отриманого фінансування  в розмірі 4680751 грн. 46 коп., в тому числі: суми коштів загального фонду, отриманих для здійснення видатків – 4680751 грн. 46 коп. Залишку коштів на реєстраційному рахунку станом на 01 січня  2020 року немає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  № 4-1м “Звіт про надходження і використання коштів, отриманих як плата за послуги":</w:t>
            </w:r>
          </w:p>
        </w:tc>
      </w:tr>
      <w:tr w:rsidR="00852CC9" w:rsidRPr="00DD4BCB">
        <w:trPr>
          <w:trHeight w:hRule="exact" w:val="916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у графі “Надійшло коштів за звітний період (рік) (грн..)” відображена сума  55920 грн. 05 коп., що складається  із  суми коштів спеціального фонду, отриманих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як плата за послуги, що надаються бюджетними установами згідно з їх основною діяльністю - 55920 грн. 05 коп. Залишок коштів на спеціальному реєстраційному рахунку станом на 01 січня 2020 року  становить -40189 грн. 41 коп.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 № 4-2м “Звіт про надходжен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ня і використання коштів, отриманих  за іншими джерелами власних надходжень":</w:t>
            </w:r>
          </w:p>
        </w:tc>
      </w:tr>
      <w:tr w:rsidR="00852CC9" w:rsidRPr="00DD4BCB">
        <w:trPr>
          <w:trHeight w:hRule="exact" w:val="354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-У графі “Надійшло коштів за звітний період (рік) (грн.)” відображена сума  105801 грн. 00 коп., яка</w:t>
            </w:r>
          </w:p>
        </w:tc>
      </w:tr>
      <w:tr w:rsidR="00852CC9">
        <w:trPr>
          <w:trHeight w:hRule="exact" w:val="1166"/>
        </w:trPr>
        <w:tc>
          <w:tcPr>
            <w:tcW w:w="2835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608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033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195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973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864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998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351" w:type="dxa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52CC9" w:rsidRDefault="00DD4BCB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 w:rsidR="00852CC9" w:rsidRDefault="00852CC9"/>
        </w:tc>
      </w:tr>
      <w:tr w:rsidR="00852CC9">
        <w:trPr>
          <w:trHeight w:hRule="exact" w:val="361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202000000014913034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2758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</w:t>
            </w:r>
          </w:p>
        </w:tc>
      </w:tr>
    </w:tbl>
    <w:p w:rsidR="00852CC9" w:rsidRDefault="00DD4BC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971"/>
        <w:gridCol w:w="716"/>
        <w:gridCol w:w="1093"/>
        <w:gridCol w:w="193"/>
        <w:gridCol w:w="791"/>
        <w:gridCol w:w="505"/>
        <w:gridCol w:w="1303"/>
        <w:gridCol w:w="287"/>
        <w:gridCol w:w="1133"/>
        <w:gridCol w:w="234"/>
        <w:gridCol w:w="1042"/>
        <w:gridCol w:w="243"/>
        <w:gridCol w:w="838"/>
        <w:gridCol w:w="387"/>
      </w:tblGrid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складається із суми коштів спеціального фонду, від отриманих благодійних внесків, грантів та дарунків – 105201 грн.  та отриманих  коштів від фізичних, юридичних осіб  на виконання окремих доручень – 3750 грн. 00 коп.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Залишок коштів на спеціальному реєстр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аційному рахунку станом на 01 січня 2020 року  становить -2230 грн. 71 коп.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 № 4-3м “Звіт про надходження і використання коштів, інших  надходжень спеціального фонду":</w:t>
            </w:r>
          </w:p>
        </w:tc>
      </w:tr>
      <w:tr w:rsidR="00852CC9" w:rsidRPr="00DD4BCB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-У графі “Надійшло коштів за звітний період (рік)” відображена сума 24671 грн. 00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коп., яка складається із бюджетних асигнувань цільового фінансування, яке відноситься до інших надходжень спеціального фонду (крім власних надходжень), що включається до вартості основних засобів – 24671 грн. 00 коп.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Залишку коштів на спеціальному реєстр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аційному рахунку станом на 01 січня 2020 року  немає.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Фінансовий результат діяльності Звіту про фінансові результати діяльності (Форма № 2-дс):</w:t>
            </w:r>
          </w:p>
        </w:tc>
      </w:tr>
      <w:tr w:rsidR="00852CC9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Доходи:</w:t>
            </w:r>
          </w:p>
        </w:tc>
      </w:tr>
      <w:tr w:rsidR="00852CC9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рядку 2010 “Бюджетні асигнування ” частини І. Фінансовий результат діяльності відображена сума 4502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 грн. без врахування  отриманих асигнувань на придбання  МНМА вилученого з бюджетних асигнувань цільового фінансування на суму поточних витрат, що включаються до вартості об’єкта необоротних активів – 178186 грн. (КЕКВ 2210-НУШ)</w:t>
            </w:r>
          </w:p>
        </w:tc>
      </w:tr>
      <w:tr w:rsidR="00852CC9" w:rsidRPr="00DD4BCB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рядку 2020 “Доходи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 надання послуг (виконання робіт)” частини І. Фінансовий результат діяльності відображена сума 55920 грн. без врахування  отриманих асигнувань на придбання  основних засобів та МНМА:плата за послуги, що надаються бюджетною установою згідно з їх основною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діяльністю – 55920  грн.</w:t>
            </w:r>
          </w:p>
        </w:tc>
      </w:tr>
      <w:tr w:rsidR="00852CC9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рядку 2130 “Інші доходи від необмінних операцій” частини І. Фінансовий результат діяльності відображена сума 28543 грн. без врахування  отриманих асигнувань на придбання  основних засобів та  МНМА  – 77258 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(Мінімийка авто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мобільна та  внутрішні двері).</w:t>
            </w:r>
          </w:p>
        </w:tc>
      </w:tr>
      <w:tr w:rsidR="00852CC9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Витрати: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-у рядку 2210 «Витрати на виконання бюджетних програм» відображена сума фактичних витрат  – 4660598 грн.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у рядку 2220 «Витрати на виготовлення продукції (надання послуг, виконання робіт)» відображена сума – 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77122 грн.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-у рядку 2250 «Інші витрати за обмінними операціями»  відображена сума  фактичних витрат на  відрядження – 13411 грн.</w:t>
            </w:r>
          </w:p>
        </w:tc>
      </w:tr>
      <w:tr w:rsidR="00852CC9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у рядку 2310 «Інші витрати за необмінними операціями»  відображено  витрати по КЕКВ 2730 – 650 грн.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(виплата одноразової 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ипендії).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  рядку 2390 «Профіцит/дефіцит за звітний період» відображено  дефіцит  бюджету, що  становить   (- 164753) грн.</w:t>
            </w:r>
          </w:p>
        </w:tc>
      </w:tr>
      <w:tr w:rsidR="00852CC9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Default="00DD4B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Фінансовий результат станом на 01.01.2020 року  становить (-1791739 грн.)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(графа 4 рядка 1420 “Фінансовий результат” Пасиву Баланс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(форма № 1-дс).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 звітному періоді  збільшено основні засоби та  МНМА на суму 294444 грн. в т.ч. безоплатне надходження підручників – 14329 грн.</w:t>
            </w:r>
          </w:p>
        </w:tc>
      </w:tr>
      <w:tr w:rsidR="00852CC9" w:rsidRPr="00DD4BCB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 формі № 5-дс відображено  надходження основних засобів на загальну суму 294444 грн. (ноутбуки, шкільні ме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блі, вікна) та  МНМА грн. (телевізор, шкільні меблі, дидактичні матеріали тощо) в тому числі за рахунок благодійних внесків, грантів – 77258 грн., безоплатне надходження підручників – 14329 грн. Нарахований знос за рік  становить– 281543  грн.</w:t>
            </w:r>
          </w:p>
        </w:tc>
      </w:tr>
      <w:tr w:rsidR="00852CC9" w:rsidRPr="00DD4BCB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Списання ос</w:t>
            </w: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новних засобів та МНМА у 2019 році не проводилося.</w:t>
            </w:r>
          </w:p>
        </w:tc>
      </w:tr>
      <w:tr w:rsidR="00852CC9" w:rsidRPr="00DD4BCB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52CC9" w:rsidRPr="00DD4BCB" w:rsidRDefault="00DD4BC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4BC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 6-дс " Додаток до приміток до річної фінансової звітності "Інформація за сегментами" -не надається у зв'язку із невизначенням сегментів облікової політики"</w:t>
            </w:r>
          </w:p>
        </w:tc>
      </w:tr>
      <w:tr w:rsidR="00852CC9" w:rsidRPr="00DD4BCB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</w:tr>
      <w:tr w:rsidR="00852CC9" w:rsidRPr="00DD4BCB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Pr="00DD4BCB" w:rsidRDefault="00852CC9">
            <w:pPr>
              <w:rPr>
                <w:lang w:val="ru-RU"/>
              </w:rPr>
            </w:pPr>
          </w:p>
        </w:tc>
      </w:tr>
      <w:tr w:rsidR="00852CC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Pr="00DD4BCB" w:rsidRDefault="00852CC9">
            <w:pPr>
              <w:rPr>
                <w:lang w:val="ru-RU"/>
              </w:rPr>
            </w:pPr>
          </w:p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Білокриницька ОМ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(керівник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Чістякова ІГ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DD4BCB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14 " січня 2020р.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52CC9" w:rsidRDefault="00852CC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52CC9" w:rsidRDefault="00852CC9"/>
        </w:tc>
      </w:tr>
      <w:tr w:rsidR="00852CC9">
        <w:trPr>
          <w:trHeight w:hRule="exact" w:val="1166"/>
        </w:trPr>
        <w:tc>
          <w:tcPr>
            <w:tcW w:w="567" w:type="dxa"/>
          </w:tcPr>
          <w:p w:rsidR="00852CC9" w:rsidRDefault="00852CC9"/>
        </w:tc>
        <w:tc>
          <w:tcPr>
            <w:tcW w:w="992" w:type="dxa"/>
          </w:tcPr>
          <w:p w:rsidR="00852CC9" w:rsidRDefault="00852CC9"/>
        </w:tc>
        <w:tc>
          <w:tcPr>
            <w:tcW w:w="737" w:type="dxa"/>
          </w:tcPr>
          <w:p w:rsidR="00852CC9" w:rsidRDefault="00852CC9"/>
        </w:tc>
        <w:tc>
          <w:tcPr>
            <w:tcW w:w="1146" w:type="dxa"/>
          </w:tcPr>
          <w:p w:rsidR="00852CC9" w:rsidRDefault="00852CC9"/>
        </w:tc>
        <w:tc>
          <w:tcPr>
            <w:tcW w:w="203" w:type="dxa"/>
          </w:tcPr>
          <w:p w:rsidR="00852CC9" w:rsidRDefault="00852CC9"/>
        </w:tc>
        <w:tc>
          <w:tcPr>
            <w:tcW w:w="830" w:type="dxa"/>
          </w:tcPr>
          <w:p w:rsidR="00852CC9" w:rsidRDefault="00852CC9"/>
        </w:tc>
        <w:tc>
          <w:tcPr>
            <w:tcW w:w="520" w:type="dxa"/>
          </w:tcPr>
          <w:p w:rsidR="00852CC9" w:rsidRDefault="00852CC9"/>
        </w:tc>
        <w:tc>
          <w:tcPr>
            <w:tcW w:w="1349" w:type="dxa"/>
          </w:tcPr>
          <w:p w:rsidR="00852CC9" w:rsidRDefault="00852CC9"/>
        </w:tc>
        <w:tc>
          <w:tcPr>
            <w:tcW w:w="298" w:type="dxa"/>
          </w:tcPr>
          <w:p w:rsidR="00852CC9" w:rsidRDefault="00852CC9"/>
        </w:tc>
        <w:tc>
          <w:tcPr>
            <w:tcW w:w="805" w:type="dxa"/>
          </w:tcPr>
          <w:p w:rsidR="00852CC9" w:rsidRDefault="00DD4BCB">
            <w:bookmarkStart w:id="0" w:name="_GoBack"/>
            <w:r>
              <w:rPr>
                <w:noProof/>
                <w:lang w:val="uk-UA" w:eastAsia="uk-UA"/>
              </w:rPr>
              <w:drawing>
                <wp:inline distT="0" distB="0" distL="0" distR="0" wp14:anchorId="24CBEE00" wp14:editId="3E762BB9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46" w:type="dxa"/>
          </w:tcPr>
          <w:p w:rsidR="00852CC9" w:rsidRDefault="00852CC9"/>
        </w:tc>
        <w:tc>
          <w:tcPr>
            <w:tcW w:w="1095" w:type="dxa"/>
          </w:tcPr>
          <w:p w:rsidR="00852CC9" w:rsidRDefault="00852CC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52CC9" w:rsidRDefault="00852CC9"/>
        </w:tc>
        <w:tc>
          <w:tcPr>
            <w:tcW w:w="403" w:type="dxa"/>
          </w:tcPr>
          <w:p w:rsidR="00852CC9" w:rsidRDefault="00852CC9"/>
        </w:tc>
      </w:tr>
      <w:tr w:rsidR="00852CC9">
        <w:trPr>
          <w:trHeight w:hRule="exact" w:val="2002"/>
        </w:trPr>
        <w:tc>
          <w:tcPr>
            <w:tcW w:w="567" w:type="dxa"/>
          </w:tcPr>
          <w:p w:rsidR="00852CC9" w:rsidRDefault="00852CC9"/>
        </w:tc>
        <w:tc>
          <w:tcPr>
            <w:tcW w:w="992" w:type="dxa"/>
          </w:tcPr>
          <w:p w:rsidR="00852CC9" w:rsidRDefault="00852CC9"/>
        </w:tc>
        <w:tc>
          <w:tcPr>
            <w:tcW w:w="737" w:type="dxa"/>
          </w:tcPr>
          <w:p w:rsidR="00852CC9" w:rsidRDefault="00852CC9"/>
        </w:tc>
        <w:tc>
          <w:tcPr>
            <w:tcW w:w="1146" w:type="dxa"/>
          </w:tcPr>
          <w:p w:rsidR="00852CC9" w:rsidRDefault="00852CC9"/>
        </w:tc>
        <w:tc>
          <w:tcPr>
            <w:tcW w:w="203" w:type="dxa"/>
          </w:tcPr>
          <w:p w:rsidR="00852CC9" w:rsidRDefault="00852CC9"/>
        </w:tc>
        <w:tc>
          <w:tcPr>
            <w:tcW w:w="830" w:type="dxa"/>
          </w:tcPr>
          <w:p w:rsidR="00852CC9" w:rsidRDefault="00852CC9"/>
        </w:tc>
        <w:tc>
          <w:tcPr>
            <w:tcW w:w="520" w:type="dxa"/>
          </w:tcPr>
          <w:p w:rsidR="00852CC9" w:rsidRDefault="00852CC9"/>
        </w:tc>
        <w:tc>
          <w:tcPr>
            <w:tcW w:w="1349" w:type="dxa"/>
          </w:tcPr>
          <w:p w:rsidR="00852CC9" w:rsidRDefault="00852CC9"/>
        </w:tc>
        <w:tc>
          <w:tcPr>
            <w:tcW w:w="298" w:type="dxa"/>
          </w:tcPr>
          <w:p w:rsidR="00852CC9" w:rsidRDefault="00852CC9"/>
        </w:tc>
        <w:tc>
          <w:tcPr>
            <w:tcW w:w="805" w:type="dxa"/>
          </w:tcPr>
          <w:p w:rsidR="00852CC9" w:rsidRDefault="00852CC9"/>
        </w:tc>
        <w:tc>
          <w:tcPr>
            <w:tcW w:w="246" w:type="dxa"/>
          </w:tcPr>
          <w:p w:rsidR="00852CC9" w:rsidRDefault="00852CC9"/>
        </w:tc>
        <w:tc>
          <w:tcPr>
            <w:tcW w:w="1095" w:type="dxa"/>
          </w:tcPr>
          <w:p w:rsidR="00852CC9" w:rsidRDefault="00852CC9"/>
        </w:tc>
        <w:tc>
          <w:tcPr>
            <w:tcW w:w="255" w:type="dxa"/>
          </w:tcPr>
          <w:p w:rsidR="00852CC9" w:rsidRDefault="00852CC9"/>
        </w:tc>
        <w:tc>
          <w:tcPr>
            <w:tcW w:w="760" w:type="dxa"/>
          </w:tcPr>
          <w:p w:rsidR="00852CC9" w:rsidRDefault="00852CC9"/>
        </w:tc>
        <w:tc>
          <w:tcPr>
            <w:tcW w:w="403" w:type="dxa"/>
          </w:tcPr>
          <w:p w:rsidR="00852CC9" w:rsidRDefault="00852CC9"/>
        </w:tc>
      </w:tr>
      <w:tr w:rsidR="00852CC9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202000000014913034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852CC9"/>
        </w:tc>
        <w:tc>
          <w:tcPr>
            <w:tcW w:w="2758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52CC9" w:rsidRDefault="00DD4BCB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</w:t>
            </w:r>
          </w:p>
        </w:tc>
      </w:tr>
    </w:tbl>
    <w:p w:rsidR="00852CC9" w:rsidRDefault="00852CC9"/>
    <w:sectPr w:rsidR="00852CC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52CC9"/>
    <w:rsid w:val="00D31453"/>
    <w:rsid w:val="00DD4BCB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4669</Words>
  <Characters>2662</Characters>
  <Application>Microsoft Office Word</Application>
  <DocSecurity>0</DocSecurity>
  <Lines>22</Lines>
  <Paragraphs>14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111</cp:lastModifiedBy>
  <cp:revision>3</cp:revision>
  <cp:lastPrinted>2020-02-05T08:31:00Z</cp:lastPrinted>
  <dcterms:created xsi:type="dcterms:W3CDTF">2009-06-17T07:33:00Z</dcterms:created>
  <dcterms:modified xsi:type="dcterms:W3CDTF">2020-02-05T08:31:00Z</dcterms:modified>
</cp:coreProperties>
</file>