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C3" w:rsidRPr="005D63C3" w:rsidRDefault="005D63C3" w:rsidP="005D63C3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5D63C3">
        <w:rPr>
          <w:rFonts w:ascii="Calibri" w:eastAsia="Calibri" w:hAnsi="Calibri" w:cs="Times New Roman"/>
          <w:noProof/>
          <w:kern w:val="2"/>
          <w:lang w:eastAsia="uk-UA"/>
          <w14:ligatures w14:val="standardContextual"/>
        </w:rPr>
        <w:drawing>
          <wp:inline distT="0" distB="0" distL="0" distR="0" wp14:anchorId="69CB24EA" wp14:editId="6C99BA8B">
            <wp:extent cx="5219700" cy="3086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C3" w:rsidRPr="005D63C3" w:rsidRDefault="005D63C3" w:rsidP="005D63C3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Мобільна бригада соціально- психологічної допомоги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Рівне 380950332009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  <w:t>Де отримати психологічну та юридичну підтримку?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Контактний центр системи надання безплатної правової допомоги 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0800213103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Національна гаряча лінія з попередження домашнього насильства, торгівлі людьми та </w:t>
      </w:r>
      <w:proofErr w:type="spellStart"/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генлерної</w:t>
      </w:r>
      <w:proofErr w:type="spellEnd"/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дискримінації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116123 або 0800500335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Національна поліція 102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Заклади охорони здоров’я 103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Урядова гаряча лінія з питань запобігання та протидії домашньому насильству та насильству за ознаками статі. 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Цілодобово, безплатно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1547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Гаряча лінія безоплатної психологічної допомоги 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0800100102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Благодійний фонд «Голоси дітей»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0800210106</w:t>
      </w:r>
    </w:p>
    <w:p w:rsidR="005D63C3" w:rsidRPr="005D63C3" w:rsidRDefault="005D63C3" w:rsidP="005D63C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D63C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380504324182</w:t>
      </w:r>
    </w:p>
    <w:p w:rsidR="007021D8" w:rsidRDefault="007021D8">
      <w:bookmarkStart w:id="0" w:name="_GoBack"/>
      <w:bookmarkEnd w:id="0"/>
    </w:p>
    <w:sectPr w:rsidR="00702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3"/>
    <w:rsid w:val="005D63C3"/>
    <w:rsid w:val="007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01A6-A0EF-484A-83E8-FB7C1069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2024-09-23T11:59:00Z</dcterms:created>
  <dcterms:modified xsi:type="dcterms:W3CDTF">2024-09-23T12:00:00Z</dcterms:modified>
</cp:coreProperties>
</file>