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08" w:rsidRPr="003E3A08" w:rsidRDefault="003E3A08" w:rsidP="003E3A08">
      <w:pPr>
        <w:shd w:val="clear" w:color="auto" w:fill="FFFFFF"/>
        <w:spacing w:after="0" w:line="490" w:lineRule="atLeast"/>
        <w:ind w:left="-280" w:right="-280"/>
        <w:outlineLvl w:val="0"/>
        <w:rPr>
          <w:rFonts w:ascii="Helvetica" w:eastAsia="Times New Roman" w:hAnsi="Helvetica" w:cs="Helvetica"/>
          <w:b/>
          <w:bCs/>
          <w:caps/>
          <w:color w:val="000000"/>
          <w:kern w:val="36"/>
          <w:sz w:val="29"/>
          <w:szCs w:val="29"/>
          <w:lang w:eastAsia="ru-RU"/>
        </w:rPr>
      </w:pPr>
      <w:r w:rsidRPr="003E3A08">
        <w:rPr>
          <w:rFonts w:ascii="Helvetica" w:eastAsia="Times New Roman" w:hAnsi="Helvetica" w:cs="Helvetica"/>
          <w:b/>
          <w:bCs/>
          <w:caps/>
          <w:color w:val="000000"/>
          <w:kern w:val="36"/>
          <w:sz w:val="29"/>
          <w:szCs w:val="29"/>
          <w:lang w:eastAsia="ru-RU"/>
        </w:rPr>
        <w:t xml:space="preserve">ПРОЦЕДУРА ПОДАННЯ УЧАСНИКАМИ ОСВІТНЬОГО ПРОЦЕСУ ЗАЯВ ПРО ВИПАДКИ </w:t>
      </w:r>
      <w:proofErr w:type="gramStart"/>
      <w:r w:rsidRPr="003E3A08">
        <w:rPr>
          <w:rFonts w:ascii="Helvetica" w:eastAsia="Times New Roman" w:hAnsi="Helvetica" w:cs="Helvetica"/>
          <w:b/>
          <w:bCs/>
          <w:caps/>
          <w:color w:val="000000"/>
          <w:kern w:val="36"/>
          <w:sz w:val="29"/>
          <w:szCs w:val="29"/>
          <w:lang w:eastAsia="ru-RU"/>
        </w:rPr>
        <w:t>БУЛ</w:t>
      </w:r>
      <w:proofErr w:type="gramEnd"/>
      <w:r w:rsidRPr="003E3A08">
        <w:rPr>
          <w:rFonts w:ascii="Helvetica" w:eastAsia="Times New Roman" w:hAnsi="Helvetica" w:cs="Helvetica"/>
          <w:b/>
          <w:bCs/>
          <w:caps/>
          <w:color w:val="000000"/>
          <w:kern w:val="36"/>
          <w:sz w:val="29"/>
          <w:szCs w:val="29"/>
          <w:lang w:eastAsia="ru-RU"/>
        </w:rPr>
        <w:t>ІНГУ (ЦЬКУВАННЯ) В ЗАКЛАДІ ОСВІТИ</w:t>
      </w:r>
    </w:p>
    <w:p w:rsidR="003E3A08" w:rsidRPr="003E3A08" w:rsidRDefault="003E3A08" w:rsidP="003E3A08">
      <w:pPr>
        <w:shd w:val="clear" w:color="auto" w:fill="FFFFFF"/>
        <w:spacing w:line="456" w:lineRule="atLeast"/>
        <w:ind w:firstLine="284"/>
        <w:jc w:val="both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46"/>
          <w:szCs w:val="46"/>
          <w:lang w:eastAsia="ru-RU"/>
        </w:rPr>
      </w:pP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Усі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учасники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освітнього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процесу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разі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виявлення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випадків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бул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інгу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(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цькування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),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учасниками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або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свідками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якого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вони стали,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або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підозрюють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його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вчинення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відношенню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до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інших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осіб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за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зовнішніми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ознаками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або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про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які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отримали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достовірну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інформацію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від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інших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осіб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, в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обов’язковому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порядку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протягом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дня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повідомляють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керівника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письмовій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формі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–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заява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Оформлення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</w:t>
      </w:r>
      <w:proofErr w:type="spellEnd"/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заповнюється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державною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розбірливим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почерком.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Виправлення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допускаються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вказати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  </w:t>
      </w:r>
    </w:p>
    <w:p w:rsidR="003E3A08" w:rsidRPr="003E3A08" w:rsidRDefault="003E3A08" w:rsidP="003E3A08">
      <w:pPr>
        <w:numPr>
          <w:ilvl w:val="0"/>
          <w:numId w:val="1"/>
        </w:numPr>
        <w:shd w:val="clear" w:color="auto" w:fill="FFFFFF"/>
        <w:spacing w:after="0" w:line="324" w:lineRule="atLeast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ізвище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заявника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адресу фактичного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телефон;        </w:t>
      </w:r>
    </w:p>
    <w:p w:rsidR="003E3A08" w:rsidRPr="003E3A08" w:rsidRDefault="003E3A08" w:rsidP="003E3A08">
      <w:pPr>
        <w:numPr>
          <w:ilvl w:val="0"/>
          <w:numId w:val="1"/>
        </w:numPr>
        <w:shd w:val="clear" w:color="auto" w:fill="FFFFFF"/>
        <w:spacing w:after="0" w:line="324" w:lineRule="atLeast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навести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розгорнутий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       </w:t>
      </w:r>
    </w:p>
    <w:p w:rsidR="003E3A08" w:rsidRPr="003E3A08" w:rsidRDefault="003E3A08" w:rsidP="003E3A08">
      <w:pPr>
        <w:numPr>
          <w:ilvl w:val="0"/>
          <w:numId w:val="1"/>
        </w:numPr>
        <w:shd w:val="clear" w:color="auto" w:fill="FFFFFF"/>
        <w:spacing w:after="0" w:line="324" w:lineRule="atLeast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 та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ідписати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A08" w:rsidRPr="003E3A08" w:rsidRDefault="003E3A08" w:rsidP="003E3A08">
      <w:pPr>
        <w:shd w:val="clear" w:color="auto" w:fill="FFFFFF"/>
        <w:spacing w:before="200" w:after="300" w:line="324" w:lineRule="atLeast"/>
        <w:ind w:firstLine="284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3E3A08" w:rsidRPr="003E3A08" w:rsidRDefault="003E3A08" w:rsidP="003E3A08">
      <w:pPr>
        <w:shd w:val="clear" w:color="auto" w:fill="FFFFFF"/>
        <w:spacing w:before="200" w:after="300" w:line="324" w:lineRule="atLeast"/>
        <w:ind w:firstLine="284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Порядок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реагування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доведені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випадки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</w:t>
      </w:r>
      <w:proofErr w:type="gram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інгу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цькування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 </w:t>
      </w:r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закладі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осіб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причетних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булінгу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цькування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   У день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видається</w:t>
      </w:r>
      <w:proofErr w:type="spellEnd"/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 по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розслідування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Створюється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тому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педагог),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постраждалого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булера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скликається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розслідування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відповідне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не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одноразовий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сварка,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носять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про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повідомляються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поліції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(ювенальна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превенція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Служба у справах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      </w:t>
      </w:r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кваліфікує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випадок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постраждалий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згоден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одразу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звернутись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поліції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реєструються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окремому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зберігаються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паперовому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вигляді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оригіналами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A08" w:rsidRPr="003E3A08" w:rsidRDefault="003E3A08" w:rsidP="003E3A08">
      <w:pPr>
        <w:shd w:val="clear" w:color="auto" w:fill="FFFFFF"/>
        <w:spacing w:after="0" w:line="324" w:lineRule="atLeast"/>
        <w:ind w:firstLine="284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5.    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Кривдник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булер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потерпілий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(жертва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інгу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за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спостерігачі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A08" w:rsidRPr="003E3A08" w:rsidRDefault="003E3A08" w:rsidP="003E3A08">
      <w:pPr>
        <w:shd w:val="clear" w:color="auto" w:fill="FFFFFF"/>
        <w:spacing w:before="200" w:after="300" w:line="324" w:lineRule="atLeast"/>
        <w:ind w:firstLine="284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3E3A08" w:rsidRPr="003E3A08" w:rsidRDefault="003E3A08" w:rsidP="003E3A08">
      <w:pPr>
        <w:shd w:val="clear" w:color="auto" w:fill="FFFFFF"/>
        <w:spacing w:before="200" w:after="300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3A08" w:rsidRPr="003E3A08" w:rsidRDefault="003E3A08" w:rsidP="003E3A08">
      <w:pPr>
        <w:shd w:val="clear" w:color="auto" w:fill="FFFFFF"/>
        <w:spacing w:before="200" w:after="125" w:line="240" w:lineRule="auto"/>
        <w:ind w:firstLine="376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Стаття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30. 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Прозорість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інформаційна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відкритість</w:t>
      </w:r>
      <w:proofErr w:type="spellEnd"/>
      <w:r w:rsidRPr="003E3A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закладу </w:t>
      </w:r>
      <w:proofErr w:type="spellStart"/>
      <w:r w:rsidRPr="003E3A0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освіти</w:t>
      </w:r>
      <w:proofErr w:type="spellEnd"/>
    </w:p>
    <w:p w:rsidR="003E3A08" w:rsidRPr="003E3A08" w:rsidRDefault="003E3A08" w:rsidP="003E3A08">
      <w:pPr>
        <w:shd w:val="clear" w:color="auto" w:fill="FFFFFF"/>
        <w:spacing w:before="200" w:after="125" w:line="240" w:lineRule="auto"/>
        <w:ind w:firstLine="376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формують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загальнодоступні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інформацією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оприлюднюють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Доступ до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A08" w:rsidRPr="003E3A08" w:rsidRDefault="003E3A08" w:rsidP="003E3A08">
      <w:pPr>
        <w:shd w:val="clear" w:color="auto" w:fill="FFFFFF"/>
        <w:spacing w:before="200" w:after="300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веб-сайтах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веб-сайтах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статут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іцензії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ітніх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закріплена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закладом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ліцензований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навчаються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вакантних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посад, порядок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на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заміщення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матеріально-технічне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мистецької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гуртожитків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за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</w:t>
      </w:r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за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перепідготовку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порядок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оплати;</w:t>
      </w:r>
    </w:p>
    <w:p w:rsidR="003E3A08" w:rsidRPr="003E3A08" w:rsidRDefault="003E3A08" w:rsidP="003E3A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оприлюднюється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вимогу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A08" w:rsidRPr="003E3A08" w:rsidRDefault="003E3A08" w:rsidP="003E3A08">
      <w:pPr>
        <w:shd w:val="clear" w:color="auto" w:fill="FFFFFF"/>
        <w:spacing w:before="200" w:after="300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отримують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оприлюднювати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веб-сайтах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кошторис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фінансовий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надходження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благодійна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допомога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3A08" w:rsidRPr="003E3A08" w:rsidRDefault="003E3A08" w:rsidP="003E3A08">
      <w:pPr>
        <w:shd w:val="clear" w:color="auto" w:fill="FFFFFF"/>
        <w:spacing w:before="200" w:after="300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другою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третьою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не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віднесені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обмеженим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доступом,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розміщуються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відкритого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не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ізніше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десять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них,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інше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3E3A08" w:rsidRPr="003E3A08" w:rsidRDefault="003E3A08" w:rsidP="003E3A08">
      <w:pPr>
        <w:shd w:val="clear" w:color="auto" w:fill="FFFFFF"/>
        <w:spacing w:before="200" w:after="300" w:line="324" w:lineRule="atLeast"/>
        <w:ind w:firstLine="284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E3A0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обов’язкової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оприлюднення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визначатися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іальними</w:t>
      </w:r>
      <w:proofErr w:type="spellEnd"/>
      <w:r w:rsidRPr="003E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законами.</w:t>
      </w:r>
    </w:p>
    <w:p w:rsidR="007220B5" w:rsidRDefault="007220B5"/>
    <w:sectPr w:rsidR="007220B5" w:rsidSect="0072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5404"/>
    <w:multiLevelType w:val="multilevel"/>
    <w:tmpl w:val="DEFC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D5069"/>
    <w:multiLevelType w:val="multilevel"/>
    <w:tmpl w:val="E720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3A08"/>
    <w:rsid w:val="003E3A08"/>
    <w:rsid w:val="0072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B5"/>
  </w:style>
  <w:style w:type="paragraph" w:styleId="1">
    <w:name w:val="heading 1"/>
    <w:basedOn w:val="a"/>
    <w:link w:val="10"/>
    <w:uiPriority w:val="9"/>
    <w:qFormat/>
    <w:rsid w:val="003E3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A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A08"/>
    <w:rPr>
      <w:b/>
      <w:bCs/>
    </w:rPr>
  </w:style>
  <w:style w:type="character" w:customStyle="1" w:styleId="apple-converted-space">
    <w:name w:val="apple-converted-space"/>
    <w:basedOn w:val="a0"/>
    <w:rsid w:val="003E3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2020-05-14T17:22:00Z</dcterms:created>
  <dcterms:modified xsi:type="dcterms:W3CDTF">2020-05-14T17:23:00Z</dcterms:modified>
</cp:coreProperties>
</file>