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A0" w:rsidRPr="000267A0" w:rsidRDefault="000267A0" w:rsidP="000267A0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aps/>
          <w:color w:val="005494"/>
          <w:kern w:val="36"/>
          <w:sz w:val="28"/>
          <w:szCs w:val="28"/>
          <w:lang w:eastAsia="ru-RU"/>
        </w:rPr>
        <w:t>STOP БУЛІНГ</w:t>
      </w:r>
    </w:p>
    <w:p w:rsidR="000267A0" w:rsidRPr="000267A0" w:rsidRDefault="000267A0" w:rsidP="000267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noProof/>
          <w:color w:val="4B4B4B"/>
          <w:sz w:val="28"/>
          <w:szCs w:val="28"/>
          <w:lang w:eastAsia="ru-RU"/>
        </w:rPr>
        <w:drawing>
          <wp:inline distT="0" distB="0" distL="0" distR="0" wp14:anchorId="768D5617" wp14:editId="02E216FD">
            <wp:extent cx="3143250" cy="2085975"/>
            <wp:effectExtent l="0" t="0" r="0" b="9525"/>
            <wp:docPr id="1" name="Рисунок 1" descr="/Files/images/stopbull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stopbully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7A0" w:rsidRPr="00A307B4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Булінг (від анг. to bull – переслідувати) – небажана агресивна поведінка дітей шкільного віку, яка призводить до цькування дитини іншою дитиною або групою дітей з метою приниження, залякування та демонстрації сили.</w:t>
      </w:r>
    </w:p>
    <w:p w:rsidR="000267A0" w:rsidRPr="00A307B4" w:rsidRDefault="000267A0" w:rsidP="00026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267A0" w:rsidRPr="000267A0" w:rsidRDefault="000267A0" w:rsidP="00026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</w:p>
    <w:p w:rsidR="000267A0" w:rsidRPr="000267A0" w:rsidRDefault="000267A0" w:rsidP="00026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Pr="00026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ЗАПОБІГАННЯ ТА ПРОТИДІЇ БУЛІНГУ</w:t>
      </w:r>
    </w:p>
    <w:p w:rsidR="000267A0" w:rsidRPr="000267A0" w:rsidRDefault="000267A0" w:rsidP="00026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67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2020/2021 НАВЧАЛЬНИЙ РІК</w:t>
      </w:r>
    </w:p>
    <w:tbl>
      <w:tblPr>
        <w:tblW w:w="1029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3469"/>
        <w:gridCol w:w="1994"/>
        <w:gridCol w:w="1700"/>
        <w:gridCol w:w="2458"/>
      </w:tblGrid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  РОБОТИ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Цільова аудиторія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Строки виконання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293" w:type="dxa"/>
            <w:gridSpan w:val="5"/>
          </w:tcPr>
          <w:p w:rsidR="000267A0" w:rsidRPr="000267A0" w:rsidRDefault="000267A0" w:rsidP="000267A0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Первинна профілактика 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 w:right="-8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Забезпечення інформацією сайт школи щодо застосування норм Закону України «Про внесення змін до деяких законодавчих актів України щодо протидії булінгу (цькування)» від 18 грудня 2018 року за №2657 -</w:t>
            </w: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Учні, батьки, вчителі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01.10.2020р.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Соціально– психологічна служба школи 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постійного чергування в місцях загального користування (їдальня, коридор, шкільне подвір’я) і технічними приміщеннями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Постійно 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ЗДНВР Делігіоз Г.Д.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Іовчу Д.Ф.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Кулава М.П.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ЗДГЧ Кулава Г.Д.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Перевірка приміщень, території школи з метою виявлення місць, які потенційно можуть бути небезпечними та сприятливими для </w:t>
            </w: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вчинення булінгу</w:t>
            </w: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цькування</w:t>
            </w: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 01.09.2020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ЗДГЧ Кулава Г.Д. 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Тренінг для учнів 10-11 класів «Як не стати учасником булінгу»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Учні 10-11 класів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Вересень-жовтень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Тудоран Д.Д.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 10-11 класів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Проходження безкоштовного курсу «Недискримінаційний підхід у навчанні» на сайті </w:t>
            </w: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EdEra</w:t>
            </w: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«Протидія та попередження булінгу в закладах освіти» (освітня платформа «</w:t>
            </w: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PROMETHEUS</w:t>
            </w: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»)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вчителі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Листопад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 рік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 1-11 класів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Круглий стіл для батьків «Поговоримо про булінг та кібербулінг»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Батьки учнів 1-11 класів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Впродовж навчального року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 1-11 класів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педагог Аржинт К.С.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Міні – тренінг «Як навчити дітей безпечної поведінки в Інтернеті»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Учні 1 – 4 класів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Вчитель інформатики в початкових класах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Бурдужа М.Д.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Робота консультпункту «Скринька довіри»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Учні, вчителі, батьки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навчального року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Соціально– психологічна служба школи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Години відвертого спілкування за участю представників Національної поліції «Не допускай проявів булінгу над собою. Допоможи другу»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Учні, батьки, вчителі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Листопад 2020 року, квітень 2021 року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ЗДНВР Делігіоз Г.Д.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Ознайомлення учасників освітнього процесу з програмою «Вирішення конфлікту мирним шляхом. Базові навички медіації»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вчителі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навчального року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Тудоран Д.Д.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Проведення відеолекторіїв у співпраці з </w:t>
            </w: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представниками соціальної служби сільської ради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Вчителі, учні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навчального року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педагог Аржинт К.С.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Проведення моніторингу безпечності та комфортності школи шляхом анкетування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Батьки, вчителі, учні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Жовтень 2020р. Травень 2020р.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 1-11 класів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педагог Аржинт К.С.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293" w:type="dxa"/>
            <w:gridSpan w:val="5"/>
          </w:tcPr>
          <w:p w:rsidR="000267A0" w:rsidRPr="000267A0" w:rsidRDefault="000267A0" w:rsidP="000267A0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 психолога спрямовані на запобігання та протидію булінгу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Година спілкування «Агресія як прояв насильства»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 класи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Жовтень 2020р.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Тудоран Д.Д. 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Бесіда «Конфлікт та його наслідки»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 класи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Листопад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Тудоран Д.Д. 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Розвивальне заняття «Я та інші»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класи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Грудень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Тудоран Д.Д. 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Година спілкування «Кібербулінг як проблема порушення прав людини»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 класи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Січень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Тудоран Д.Д. 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Заняття з елементами тренінгу «Обери безпечний шлях»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 класи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Лютий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2021р.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Тудоран Д.Д. 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Тренінг «Безпечний інтернет»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 класи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березень 2021р.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Тудоран Д.Д. 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Розвивальне заняття «Як приборкати власних драконів»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 класи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Квітень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Практичний психолог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Тудоран Д.Д. 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293" w:type="dxa"/>
            <w:gridSpan w:val="5"/>
          </w:tcPr>
          <w:p w:rsidR="000267A0" w:rsidRPr="000267A0" w:rsidRDefault="000267A0" w:rsidP="0002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</w:t>
            </w:r>
            <w:r w:rsidRPr="000267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267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соціального педагога</w:t>
            </w:r>
            <w:r w:rsidRPr="000267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спрямован</w:t>
            </w:r>
            <w:r w:rsidRPr="000267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0267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запобігання та протидію булінгу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Анкетування за методикою «Агресина поведінка» (за Є. Ільїним та П. Ковальовим)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учні 5-9 класів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20-24 жовтня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педагог Аржинт К.С.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Анкета «Протидія булінгу»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учні 5-11 класів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17-21 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січня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педагог Аржинт К.С.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Тренінг для педагогів «Конфлікти – це норми життя?»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вчителі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Лютий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педагог Аржинт К.С.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Батьківський всеобуч «Агресивна поведінка підлітків. Що таке батьківський авторитет»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батьки, вчителі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Березень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2021р.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педагог Аржинт К.С.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293" w:type="dxa"/>
            <w:gridSpan w:val="5"/>
          </w:tcPr>
          <w:p w:rsidR="000267A0" w:rsidRPr="000267A0" w:rsidRDefault="000267A0" w:rsidP="0002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Вторинна профілактика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Розгляд заяв про випадки булінгу 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Індивідуально 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заявою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Адміністрація школи</w:t>
            </w:r>
          </w:p>
        </w:tc>
      </w:tr>
      <w:tr w:rsidR="000267A0" w:rsidRPr="000267A0" w:rsidTr="00DC6E4F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686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3540" w:type="dxa"/>
          </w:tcPr>
          <w:p w:rsidR="000267A0" w:rsidRPr="000267A0" w:rsidRDefault="000267A0" w:rsidP="000267A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Сеанси медіації (примирення)</w:t>
            </w:r>
          </w:p>
        </w:tc>
        <w:tc>
          <w:tcPr>
            <w:tcW w:w="2002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Конфліктуючі сторони</w:t>
            </w:r>
          </w:p>
        </w:tc>
        <w:tc>
          <w:tcPr>
            <w:tcW w:w="1564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потребою</w:t>
            </w:r>
          </w:p>
        </w:tc>
        <w:tc>
          <w:tcPr>
            <w:tcW w:w="2501" w:type="dxa"/>
          </w:tcPr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Соціально- психологічна служба</w:t>
            </w:r>
          </w:p>
          <w:p w:rsidR="000267A0" w:rsidRPr="000267A0" w:rsidRDefault="000267A0" w:rsidP="0002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67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школи</w:t>
            </w:r>
          </w:p>
        </w:tc>
      </w:tr>
    </w:tbl>
    <w:p w:rsidR="000267A0" w:rsidRPr="000267A0" w:rsidRDefault="000267A0" w:rsidP="00026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67A0" w:rsidRPr="000267A0" w:rsidRDefault="000267A0" w:rsidP="00026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67A0" w:rsidRPr="000267A0" w:rsidRDefault="000267A0" w:rsidP="00026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директора з НВР                         Г.Д. Делігіоз</w:t>
      </w:r>
    </w:p>
    <w:p w:rsidR="000267A0" w:rsidRPr="00A307B4" w:rsidRDefault="000267A0" w:rsidP="0002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0267A0" w:rsidRPr="000267A0" w:rsidRDefault="000267A0" w:rsidP="000267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267A0" w:rsidRDefault="000267A0" w:rsidP="000267A0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</w:pPr>
      <w:r w:rsidRPr="000267A0"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  <w:t>Як зрозуміти, що ваша дитина піддається булінгу?</w:t>
      </w:r>
    </w:p>
    <w:p w:rsidR="00A307B4" w:rsidRPr="000267A0" w:rsidRDefault="00A307B4" w:rsidP="000267A0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</w:pP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Якщо зовнішніх проявів немає або вони неоднозначні, зверніть увагу на дев'ять найпоширеніших ознак: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1. У дитини мало або взагалі немає друзів, з якими вона проводить час.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2. Боїться ходити до школи або брати участь </w:t>
      </w:r>
      <w:proofErr w:type="gramStart"/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 заходах</w:t>
      </w:r>
      <w:proofErr w:type="gramEnd"/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з однолітками (гуртки, спорт).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3. Ходить до школи довгим «нелогічним» шляхом.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4. Втрачає інтерес до навчання або раптом починає погано вчитися.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5. Приходить додому сумна, похмура, зі сльозами.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6. Постійно відмовляється йти до школи, посилаючись на головний біль, біль у животі, погане самопочуття.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7. Має розлади сну або часті погані сни.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8. Втрачає апетит, проявляє тривожність, страждає від низької самооцінки.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9. Якщо дитину шантажують у школі, вона може почати просити додаткові гроші на кишенькові витрати, щоб відкупитися від агресора.</w:t>
      </w:r>
    </w:p>
    <w:p w:rsidR="00A307B4" w:rsidRDefault="00A307B4" w:rsidP="000267A0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</w:pPr>
    </w:p>
    <w:p w:rsidR="00A307B4" w:rsidRDefault="00A307B4" w:rsidP="000267A0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</w:pPr>
    </w:p>
    <w:p w:rsidR="00A307B4" w:rsidRDefault="00A307B4" w:rsidP="000267A0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</w:pPr>
    </w:p>
    <w:p w:rsidR="000267A0" w:rsidRDefault="000267A0" w:rsidP="000267A0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</w:pPr>
      <w:r w:rsidRPr="000267A0"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  <w:lastRenderedPageBreak/>
        <w:t>Як допомогти дитині, якщо вона піддається булінгу?</w:t>
      </w:r>
    </w:p>
    <w:p w:rsidR="00A307B4" w:rsidRPr="000267A0" w:rsidRDefault="00A307B4" w:rsidP="000267A0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</w:pP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Інколи діти стають жертвами булінгу. Вони соромляться про це говорити і часто звинувачують себе. Можуть відчувати себе безпорадними та вважати, що з ними щось не так. Придивіться до поведінки та настрою своєї дитини. Якщо ви помітили ознаки того, що вона стала жертвою булінгу: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1. </w:t>
      </w:r>
      <w:proofErr w:type="gramStart"/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 першу</w:t>
      </w:r>
      <w:proofErr w:type="gramEnd"/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чергу заспокойтесь, і тільки після цього починайте розмову з дитиною.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2. Дайте відчути, що ви поруч, готові підтримати та допомогти, вислухати та захистити.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3. Запевніть дитину, що ви не звинувачуєте її у тому, що відбувається, і вона може говорити відверто.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4. Пам’ятайте, що дитині може бути неприємно говорити на цю тему, вона вразлива у цей момент. Будьте терплячими та делікатними.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5. Спробуйте з’ясувати все, що зможете, проте не повторюйте ті ж самі запитання по декілька разів, допитуючись.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6. Запропонуйте подумати, які дії допоможуть дитині почуватися у більшій безпеці зараз (наприклад, бути певний час ближче до дорослих, не залишатися після уроків тощо).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7. Розкажіть дитині, що немає нічого поганого у тому, щоб повідомити про агресивну поведінку щодо когось учителю або принаймні друзям. Поясніть різницю між “пліткуванням” та “піклуванням” про своє життя чи життя друга/однокласника.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8. Спитайте, яка саме ваша допомога буде корисна дитині, вислухайте уважно. Можливо ви запропонуєте свій варіант. Це допоможе розробити спільну стратегію змін.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9. Пам’ятайте, що ситуації фізичного насилля потребують негайного втручання з боку батьків та візит до школи.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10. Спільно з дитиною шукайте нові способи реагування на ситуацію булінгу.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11. Обговоріть, до кого по допомогу дитина може звертатися у школі: до шкільного психолога, вчителів, адміністрації, дорослих учнів, охорони, батьків інших дітей.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12. Важливо усвідомити, чому саме дитина потрапила у ситуацію булінгу. Рекомендуємо з цим звернутися до дитячого психолога.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13. Підтримайте свою дитину у налагодженні дружніх стосунків з однолітками.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14. Поясніть дитині, що зміни будуть відбуватися поступово, проте весь цей час вона може розраховувати на вашу підтримку.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Пам’ятайте: ваша мета припинити насильство, а не покарати винних! Не варто забувати, що всі сторони потребують деякого часу, щоб скорегувати свою поведінку.</w:t>
      </w:r>
    </w:p>
    <w:p w:rsidR="000267A0" w:rsidRDefault="000267A0" w:rsidP="000267A0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</w:pPr>
      <w:r w:rsidRPr="000267A0"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  <w:t>Як допомогти дитині, якщо вона виявилася агресором?</w:t>
      </w:r>
    </w:p>
    <w:p w:rsidR="00A307B4" w:rsidRPr="000267A0" w:rsidRDefault="00A307B4" w:rsidP="000267A0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</w:pP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Дитині, яка булить інших, увага та допомога потрібна не менше, ніж тій, яка страждає від булінгу.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1. Відверто поговоріть з дитиною про те, що відбувається, з'ясуйте як вона ставиться до своїх дій і як реагують інші діти. Ви можете почути, що "всі так роблять", або "він заслуговує на це".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2. Уважно вислухайте дитину і зосередьтеся на пошуку фактів, а не на своїх припущеннях.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3. Не применшуйте серйозність ситуації такими кліше, як "хлопчики завжди будуть хлопчиками" або "глузування, бійки та інші форми агресивної поведінки — просто дитячі жарти і цілком природна частина дитинства".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4. Ретельно поясніть, які дії ви вважаєте переслідуванням інших. До них відносяться: цькування, образливі прізвиська, загрози фізичного насильства, залякування, висміювання, коментарі з сексуальним підтекстом, бойкот іншої дитини або підбурювання до ігнорування, плітки, публічні приниження, штовхання, плювки, псування особистих речей, принизливі висловлювання або жести.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5. Діти, які булять, заперечують це так довго, як тільки можуть. Спокійно поясніть дитині, що її поведінка може завдати шкоди не тільки жертві, а й усім оточуючим. І щодалі це заходитиме, тим гірше булінг впливатиме на всіх учасників.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6. Дайте зрозуміти дитині, що агресивна поведінка є дуже серйозною проблемою, і ви не будете терпіти це в майбутньому. Чітко і наполегливо, але без гніву, попросіть дитину зупинити насильство.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7. Скажіть дитині, що їй потрібна допомога, а тому ви тимчасово триматимете зв'язок з учителями, щоб упевнитись — дитина намагається змінити ситуацію.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8. Загрози і покарання не спрацюють. Можливо, на якийсь час це припинить булінг, та в перспективі це може тільки посилити агресію і невдоволення.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9. Буде зайвим концентрувати увагу на відчуттях дитини, яку булять. Той, хто виявляє агресію, як правило відсторонюється від почуттів іншої людини.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10. Агресивна поведінка та прояви насильства можуть вказувати на емоційні проблеми вашої дитини та розлади поведінки. Порадьтеся зі шкільним чи дитячим психологом.</w:t>
      </w:r>
    </w:p>
    <w:p w:rsidR="000267A0" w:rsidRDefault="000267A0" w:rsidP="000267A0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</w:pPr>
      <w:r w:rsidRPr="000267A0"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  <w:t>Як батькам і школі запобігти булінгу?</w:t>
      </w:r>
    </w:p>
    <w:p w:rsidR="00A307B4" w:rsidRPr="000267A0" w:rsidRDefault="00A307B4" w:rsidP="000267A0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color w:val="0184DF"/>
          <w:sz w:val="36"/>
          <w:szCs w:val="36"/>
          <w:lang w:eastAsia="ru-RU"/>
        </w:rPr>
      </w:pPr>
      <w:bookmarkStart w:id="0" w:name="_GoBack"/>
      <w:bookmarkEnd w:id="0"/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Швидка та доречна реакція дорослих (батьків і вчителів) на ситуацію булінгу повертає дітям відчуття безпеки та захищеності, демонструє, що насилля не прийнятне. Саме тому, як тільки ви побачили або дізналися про булінг:</w:t>
      </w:r>
    </w:p>
    <w:p w:rsidR="000267A0" w:rsidRPr="000267A0" w:rsidRDefault="000267A0" w:rsidP="00026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1. Негайно втручайтесь та зупиняйте насилля — булінг не можна ігнорувати.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2. Зберігайте спокій та будьте делікатними, не примушуйте дітей публічно говорити на важкі для них теми. Краще вести розмову наодинці, або в малих групах.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3. Уникайте слів жертва чи агресор — це призводить до стигматизації.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4. Не намагайтеся ставати на чийсь бік або викликати відчуття провини до того, хто потерпає від булінгу. Так ви закріплюєте поведінку жертви.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5. Пояснюйте, які саме дії є насиллям і чому їх необхідно припинити.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6. Не вимагайте публічних вибачень. Це може загострити ситуацію.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7. Допоможіть дітям зрозуміти, що таке булінг і як протистояти йому безпечно.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8. Спілкуйтеся з дітьми. Прислухайтеся до них. Знайте їхніх друзів, запитуйте про школу, розумійте їхні проблеми.</w:t>
      </w:r>
    </w:p>
    <w:p w:rsidR="000267A0" w:rsidRPr="000267A0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9. Заохочуйте дітей робити те, що вони люблять. Інтереси і хобі можуть підвищити довіру, допомогти дітям здружитися і попередити схильність до булінгу.</w:t>
      </w:r>
    </w:p>
    <w:p w:rsidR="000267A0" w:rsidRPr="00A307B4" w:rsidRDefault="000267A0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10. Показуйте приклад ставлення до інших із добротою та повагою.</w:t>
      </w:r>
    </w:p>
    <w:p w:rsidR="00A307B4" w:rsidRPr="00A307B4" w:rsidRDefault="00A307B4" w:rsidP="000267A0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A307B4" w:rsidRPr="000267A0" w:rsidRDefault="00A307B4" w:rsidP="00A307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Порядок подання та розгляду (</w:t>
      </w:r>
      <w:r w:rsidRPr="000267A0">
        <w:rPr>
          <w:rFonts w:ascii="Times New Roman" w:eastAsia="Times New Roman" w:hAnsi="Times New Roman" w:cs="Times New Roman"/>
          <w:b/>
          <w:bCs/>
          <w:color w:val="336699"/>
          <w:sz w:val="28"/>
          <w:szCs w:val="28"/>
          <w:lang w:eastAsia="ru-RU"/>
        </w:rPr>
        <w:t>з дотриманням конфіденційності</w:t>
      </w:r>
      <w:r w:rsidRPr="000267A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)</w:t>
      </w:r>
      <w:r w:rsidRPr="000267A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br/>
        <w:t>заяв про випадки булінгу (</w:t>
      </w:r>
      <w:r w:rsidRPr="000267A0">
        <w:rPr>
          <w:rFonts w:ascii="Times New Roman" w:eastAsia="Times New Roman" w:hAnsi="Times New Roman" w:cs="Times New Roman"/>
          <w:b/>
          <w:bCs/>
          <w:color w:val="336699"/>
          <w:sz w:val="28"/>
          <w:szCs w:val="28"/>
          <w:lang w:eastAsia="ru-RU"/>
        </w:rPr>
        <w:t>цькування</w:t>
      </w:r>
      <w:r w:rsidRPr="000267A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)</w:t>
      </w:r>
    </w:p>
    <w:p w:rsidR="00A307B4" w:rsidRPr="000267A0" w:rsidRDefault="00A307B4" w:rsidP="00A307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Реагування адміністрації на випадки булінгу (цькування) в школі здійснюється на таких принципах:</w:t>
      </w:r>
    </w:p>
    <w:p w:rsidR="00A307B4" w:rsidRPr="000267A0" w:rsidRDefault="00A307B4" w:rsidP="00A30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законності;</w:t>
      </w:r>
    </w:p>
    <w:p w:rsidR="00A307B4" w:rsidRPr="000267A0" w:rsidRDefault="00A307B4" w:rsidP="00A30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відкритості та прозорості;</w:t>
      </w:r>
    </w:p>
    <w:p w:rsidR="00A307B4" w:rsidRPr="000267A0" w:rsidRDefault="00A307B4" w:rsidP="00A30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дотримання прав і свобод людини;</w:t>
      </w:r>
    </w:p>
    <w:p w:rsidR="00A307B4" w:rsidRPr="000267A0" w:rsidRDefault="00A307B4" w:rsidP="00A30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поваги та неупередженого ставлення до сторін булінгу (цькування);</w:t>
      </w:r>
    </w:p>
    <w:p w:rsidR="00A307B4" w:rsidRPr="000267A0" w:rsidRDefault="00A307B4" w:rsidP="00A30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конфіденційності;</w:t>
      </w:r>
    </w:p>
    <w:p w:rsidR="00A307B4" w:rsidRPr="000267A0" w:rsidRDefault="00A307B4" w:rsidP="00A30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 та співпраці;</w:t>
      </w:r>
    </w:p>
    <w:p w:rsidR="00A307B4" w:rsidRPr="000267A0" w:rsidRDefault="00A307B4" w:rsidP="00A30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невідкладного реагування;</w:t>
      </w:r>
    </w:p>
    <w:p w:rsidR="00A307B4" w:rsidRPr="000267A0" w:rsidRDefault="00A307B4" w:rsidP="00A30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 підходу;</w:t>
      </w:r>
    </w:p>
    <w:p w:rsidR="00A307B4" w:rsidRPr="000267A0" w:rsidRDefault="00A307B4" w:rsidP="00A30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нетерпимості до булінгу (цькування) та визнання його суспільної небезпеки.</w:t>
      </w:r>
    </w:p>
    <w:p w:rsidR="00A307B4" w:rsidRPr="000267A0" w:rsidRDefault="00A307B4" w:rsidP="00A30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Повідомлення, заява про випадки булінгу (цькування) подається на ім’я директора (дотримується конфіденційність).</w:t>
      </w:r>
    </w:p>
    <w:p w:rsidR="00A307B4" w:rsidRPr="000267A0" w:rsidRDefault="00A307B4" w:rsidP="00A30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такої заяви, директор школи видає рішення про проведення розслідування із визначенням уповноважених осіб. Для прийняття рішення за результатами розслідування директор школи створює наказом комісію з розгляду випадків булінгу (цькування) (Далі – Комісія) та скликає засідання. </w:t>
      </w:r>
      <w:proofErr w:type="gramStart"/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складу</w:t>
      </w:r>
      <w:proofErr w:type="gramEnd"/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такої комісії можуть входити педагогічні працівники (в тому числі психолог, соціальний педагог), батьки постраждалого та булера, директор школи та інші заінтересовані особи. Якщо комісія визначила, що це був булінг (цькування), а не одноразовий конфлікт чи сварка, тобто відповідні дії носять систематичний характер, то директор школи зобов’язаний повідомити уповноважені підрозділи органів Національної Поліції України (ювенальна поліція) та Службу </w:t>
      </w:r>
      <w:proofErr w:type="gramStart"/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справах</w:t>
      </w:r>
      <w:proofErr w:type="gramEnd"/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дітей.</w:t>
      </w:r>
    </w:p>
    <w:p w:rsidR="00A307B4" w:rsidRPr="000267A0" w:rsidRDefault="00A307B4" w:rsidP="00A30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разі, якщо Комісія не кваліфікує випадок як булінг (цькування), а постраждалий не згодний з цим, то він може одразу звернутись до органів Національної Поліції України із заявою.</w:t>
      </w:r>
    </w:p>
    <w:p w:rsidR="00A307B4" w:rsidRPr="000267A0" w:rsidRDefault="00A307B4" w:rsidP="00A307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Практичний психолог та соціальний педагог </w:t>
      </w:r>
      <w:proofErr w:type="gramStart"/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межах</w:t>
      </w:r>
      <w:proofErr w:type="gramEnd"/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своїх посадових обов’язків:</w:t>
      </w:r>
    </w:p>
    <w:p w:rsidR="00A307B4" w:rsidRPr="000267A0" w:rsidRDefault="00A307B4" w:rsidP="00A30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діагностують стан психологічного клімату в колективі, в якому відбувся булінг (цькування);</w:t>
      </w:r>
    </w:p>
    <w:p w:rsidR="00A307B4" w:rsidRPr="000267A0" w:rsidRDefault="00A307B4" w:rsidP="00A30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діагностики розробляють план корекційної роботи з кривдником та свідками із залученням батьків або законних представників;</w:t>
      </w:r>
    </w:p>
    <w:p w:rsidR="00A307B4" w:rsidRPr="000267A0" w:rsidRDefault="00A307B4" w:rsidP="00A30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розробляють та реалізують програму індивідуальної реабілітації для потерпілого;</w:t>
      </w:r>
    </w:p>
    <w:p w:rsidR="00A307B4" w:rsidRPr="00A307B4" w:rsidRDefault="00A307B4" w:rsidP="00A307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 надання психологічного супроводу здобувачів освіти, які постраждали від булінгу (цькування), стали його свідками або вчинили булінг (цькування).</w:t>
      </w:r>
    </w:p>
    <w:p w:rsidR="00A307B4" w:rsidRPr="000267A0" w:rsidRDefault="00A307B4" w:rsidP="00A307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t>Телефони довіри:</w:t>
      </w:r>
    </w:p>
    <w:p w:rsidR="00A307B4" w:rsidRPr="000267A0" w:rsidRDefault="00A307B4" w:rsidP="00A30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6699CC"/>
          <w:sz w:val="28"/>
          <w:szCs w:val="28"/>
          <w:lang w:eastAsia="ru-RU"/>
        </w:rPr>
        <w:t>Дитяча лінія</w:t>
      </w: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67A0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  <w:lang w:eastAsia="ru-RU"/>
        </w:rPr>
        <w:t>116 111</w:t>
      </w: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або </w:t>
      </w:r>
      <w:r w:rsidRPr="000267A0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  <w:lang w:eastAsia="ru-RU"/>
        </w:rPr>
        <w:t>800 500 225</w:t>
      </w: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 12.00 до 16.00);</w:t>
      </w:r>
    </w:p>
    <w:p w:rsidR="00A307B4" w:rsidRPr="000267A0" w:rsidRDefault="00A307B4" w:rsidP="00A30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Гаряча телефонна лінія щодо булінгу </w:t>
      </w:r>
      <w:r w:rsidRPr="000267A0">
        <w:rPr>
          <w:rFonts w:ascii="Times New Roman" w:eastAsia="Times New Roman" w:hAnsi="Times New Roman" w:cs="Times New Roman"/>
          <w:b/>
          <w:bCs/>
          <w:color w:val="660099"/>
          <w:sz w:val="28"/>
          <w:szCs w:val="28"/>
          <w:lang w:eastAsia="ru-RU"/>
        </w:rPr>
        <w:t>116 000</w:t>
      </w:r>
      <w:r w:rsidRPr="00026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A307B4" w:rsidRPr="000267A0" w:rsidRDefault="00A307B4" w:rsidP="00A30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6699CC"/>
          <w:sz w:val="28"/>
          <w:szCs w:val="28"/>
          <w:lang w:eastAsia="ru-RU"/>
        </w:rPr>
        <w:t>Гаряча лінія з питань запобігання насильству</w:t>
      </w:r>
      <w:r w:rsidRPr="00026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7A0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  <w:lang w:eastAsia="ru-RU"/>
        </w:rPr>
        <w:t>116 123</w:t>
      </w:r>
      <w:r w:rsidRPr="00026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r w:rsidRPr="00026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7A0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  <w:lang w:eastAsia="ru-RU"/>
        </w:rPr>
        <w:t>0 800 500 335</w:t>
      </w:r>
      <w:r w:rsidRPr="00026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A307B4" w:rsidRPr="000267A0" w:rsidRDefault="00A307B4" w:rsidP="00A30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Уповноважений Верховної Ради з прав людини </w:t>
      </w:r>
      <w:r w:rsidRPr="000267A0">
        <w:rPr>
          <w:rFonts w:ascii="Times New Roman" w:eastAsia="Times New Roman" w:hAnsi="Times New Roman" w:cs="Times New Roman"/>
          <w:b/>
          <w:bCs/>
          <w:color w:val="660099"/>
          <w:sz w:val="28"/>
          <w:szCs w:val="28"/>
          <w:lang w:eastAsia="ru-RU"/>
        </w:rPr>
        <w:t>0 800 50 17 20</w:t>
      </w:r>
      <w:r w:rsidRPr="00026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A307B4" w:rsidRPr="000267A0" w:rsidRDefault="00A307B4" w:rsidP="00A30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6699CC"/>
          <w:sz w:val="28"/>
          <w:szCs w:val="28"/>
          <w:lang w:eastAsia="ru-RU"/>
        </w:rPr>
        <w:t xml:space="preserve">Уповноважений Президента України з прав </w:t>
      </w:r>
      <w:proofErr w:type="gramStart"/>
      <w:r w:rsidRPr="000267A0">
        <w:rPr>
          <w:rFonts w:ascii="Times New Roman" w:eastAsia="Times New Roman" w:hAnsi="Times New Roman" w:cs="Times New Roman"/>
          <w:color w:val="6699CC"/>
          <w:sz w:val="28"/>
          <w:szCs w:val="28"/>
          <w:lang w:eastAsia="ru-RU"/>
        </w:rPr>
        <w:t>дитини </w:t>
      </w: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67A0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  <w:lang w:eastAsia="ru-RU"/>
        </w:rPr>
        <w:t>044</w:t>
      </w:r>
      <w:proofErr w:type="gramEnd"/>
      <w:r w:rsidRPr="000267A0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  <w:lang w:eastAsia="ru-RU"/>
        </w:rPr>
        <w:t xml:space="preserve"> 255 76 76</w:t>
      </w:r>
      <w:r w:rsidRPr="00026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;</w:t>
      </w:r>
    </w:p>
    <w:p w:rsidR="00A307B4" w:rsidRPr="000267A0" w:rsidRDefault="00A307B4" w:rsidP="00A30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надання безоплатної допомоги </w:t>
      </w:r>
      <w:r w:rsidRPr="000267A0">
        <w:rPr>
          <w:rFonts w:ascii="Times New Roman" w:eastAsia="Times New Roman" w:hAnsi="Times New Roman" w:cs="Times New Roman"/>
          <w:b/>
          <w:bCs/>
          <w:color w:val="660099"/>
          <w:sz w:val="28"/>
          <w:szCs w:val="28"/>
          <w:lang w:eastAsia="ru-RU"/>
        </w:rPr>
        <w:t>0 800 213 103</w:t>
      </w:r>
      <w:r w:rsidRPr="000267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A307B4" w:rsidRPr="00A307B4" w:rsidRDefault="00A307B4" w:rsidP="00A30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A0">
        <w:rPr>
          <w:rFonts w:ascii="Times New Roman" w:eastAsia="Times New Roman" w:hAnsi="Times New Roman" w:cs="Times New Roman"/>
          <w:color w:val="6699CC"/>
          <w:sz w:val="28"/>
          <w:szCs w:val="28"/>
          <w:lang w:eastAsia="ru-RU"/>
        </w:rPr>
        <w:t>Національна поліція України</w:t>
      </w:r>
      <w:r w:rsidRPr="0002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67A0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  <w:lang w:eastAsia="ru-RU"/>
        </w:rPr>
        <w:t>102</w:t>
      </w:r>
    </w:p>
    <w:p w:rsidR="00A307B4" w:rsidRPr="000267A0" w:rsidRDefault="00A307B4" w:rsidP="00A307B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307B4" w:rsidRPr="000267A0" w:rsidRDefault="00A307B4" w:rsidP="00A307B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val="uk-UA" w:eastAsia="ru-RU"/>
        </w:rPr>
      </w:pPr>
    </w:p>
    <w:p w:rsidR="00A307B4" w:rsidRPr="000267A0" w:rsidRDefault="00A307B4" w:rsidP="000267A0">
      <w:pPr>
        <w:spacing w:after="295" w:line="240" w:lineRule="auto"/>
        <w:rPr>
          <w:rFonts w:ascii="Arial" w:eastAsia="Times New Roman" w:hAnsi="Arial" w:cs="Arial"/>
          <w:color w:val="4B4B4B"/>
          <w:sz w:val="20"/>
          <w:szCs w:val="20"/>
          <w:lang w:val="uk-UA" w:eastAsia="ru-RU"/>
        </w:rPr>
      </w:pPr>
    </w:p>
    <w:p w:rsidR="002F2C9F" w:rsidRDefault="002F2C9F"/>
    <w:sectPr w:rsidR="002F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918E3"/>
    <w:multiLevelType w:val="multilevel"/>
    <w:tmpl w:val="C174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B073B"/>
    <w:multiLevelType w:val="multilevel"/>
    <w:tmpl w:val="08F4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751FE"/>
    <w:multiLevelType w:val="multilevel"/>
    <w:tmpl w:val="A806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801449"/>
    <w:multiLevelType w:val="multilevel"/>
    <w:tmpl w:val="672EB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A0"/>
    <w:rsid w:val="000267A0"/>
    <w:rsid w:val="002F2C9F"/>
    <w:rsid w:val="00A3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3F3C"/>
  <w15:chartTrackingRefBased/>
  <w15:docId w15:val="{C488AEB3-25F2-481A-9010-90840FBB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autoRedefine/>
    <w:rsid w:val="000267A0"/>
    <w:pPr>
      <w:spacing w:line="240" w:lineRule="exact"/>
    </w:pPr>
    <w:rPr>
      <w:rFonts w:ascii="Verdana" w:eastAsia="MS Mincho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2020-10-02T14:59:00Z</dcterms:created>
  <dcterms:modified xsi:type="dcterms:W3CDTF">2020-10-02T15:16:00Z</dcterms:modified>
</cp:coreProperties>
</file>