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Тиманівський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ліцей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Тульчинської міської ради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від 15.1</w:t>
      </w:r>
      <w:r w:rsidR="00514722" w:rsidRPr="003D015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>.2024 року № 3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Голова –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Секретар –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Коштира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Присутні:   члени педагогічної ради -  </w:t>
      </w:r>
      <w:r w:rsidR="00E3680D" w:rsidRPr="003D0156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чоловік (список додається)</w:t>
      </w: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4395" w:rsidRPr="003D0156" w:rsidRDefault="000E4395" w:rsidP="003D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0E4395" w:rsidRPr="003D0156" w:rsidRDefault="000E4395" w:rsidP="00204F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5–7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НУШ та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НУШ 5-7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рекомендаціями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МОН та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журналі</w:t>
      </w:r>
      <w:proofErr w:type="gramStart"/>
      <w:r w:rsidRPr="003D015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D0156">
        <w:rPr>
          <w:rFonts w:ascii="Times New Roman" w:hAnsi="Times New Roman" w:cs="Times New Roman"/>
          <w:sz w:val="24"/>
          <w:szCs w:val="24"/>
        </w:rPr>
        <w:t xml:space="preserve"> у 2024-2025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21F" w:rsidRPr="003D0156" w:rsidRDefault="000E4395" w:rsidP="00204F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орієнтовного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педагогічни</w:t>
      </w:r>
      <w:r w:rsidR="00204F6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04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66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204F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4F66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204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66">
        <w:rPr>
          <w:rFonts w:ascii="Times New Roman" w:hAnsi="Times New Roman" w:cs="Times New Roman"/>
          <w:sz w:val="24"/>
          <w:szCs w:val="24"/>
        </w:rPr>
        <w:t>додаєтьс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>).</w:t>
      </w:r>
    </w:p>
    <w:p w:rsidR="00E3680D" w:rsidRPr="003D0156" w:rsidRDefault="000E4395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b/>
          <w:sz w:val="24"/>
          <w:szCs w:val="24"/>
          <w:lang w:val="uk-UA"/>
        </w:rPr>
        <w:t>І. СЛУХАЛИ:</w:t>
      </w:r>
    </w:p>
    <w:p w:rsidR="00514722" w:rsidRPr="003D0156" w:rsidRDefault="000E4395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Дзярик</w:t>
      </w:r>
      <w:proofErr w:type="spellEnd"/>
      <w:r w:rsidRPr="003D01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В.А.,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 заступника директора з НВР, яка </w:t>
      </w:r>
      <w:r w:rsidR="00514722" w:rsidRPr="003D0156">
        <w:rPr>
          <w:rFonts w:ascii="Times New Roman" w:hAnsi="Times New Roman" w:cs="Times New Roman"/>
          <w:sz w:val="24"/>
          <w:szCs w:val="24"/>
          <w:lang w:val="uk-UA"/>
        </w:rPr>
        <w:t>розповіла присутнім про основні вимоги і нові підходи до оцінювання в 5 – 9 класах.</w:t>
      </w:r>
    </w:p>
    <w:p w:rsidR="00E518DD" w:rsidRPr="003D0156" w:rsidRDefault="00E518DD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вимоги представлено через результати на трьох рівнях:</w:t>
      </w:r>
    </w:p>
    <w:p w:rsidR="00E518DD" w:rsidRPr="003D0156" w:rsidRDefault="00E518DD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•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групи результатів (через які реалізується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потенціал галузі);</w:t>
      </w:r>
    </w:p>
    <w:p w:rsidR="00E518DD" w:rsidRPr="003D0156" w:rsidRDefault="00E518DD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•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ab/>
        <w:t>загальні результати, які є спільними для всіх трьох рівнів загальної середньої освіти (вони ж визначають навчальний поступ за циклами: 5‒6 і 7‒9 класи);</w:t>
      </w:r>
    </w:p>
    <w:p w:rsidR="00E518DD" w:rsidRPr="003D0156" w:rsidRDefault="00E518DD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•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ab/>
        <w:t>орієнтири для оцінювання, на основі яких визначають рівень досягнення результатів навчання на завершення відповідного циклу.</w:t>
      </w:r>
    </w:p>
    <w:p w:rsidR="00E518DD" w:rsidRPr="003D0156" w:rsidRDefault="00E518DD" w:rsidP="003D0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Зміни до підходів у навчанні позначилися на критеріях. Якщо попередні критерії оцінювання навчальних досягнень було орієнтовано більше на факти, правила й дані, тобто на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знаннєвий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компонент, то зараз йдеться про компетентності (знання, уміння, способи мислення, погляди, цінності).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Документ, який визначає загальні</w:t>
      </w: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критерії для оцінювання і критерії оцінювання за освітніми галузями</w:t>
      </w: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—</w:t>
      </w: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history="1">
        <w:r w:rsidRPr="003D0156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val="uk-UA" w:eastAsia="ru-RU"/>
          </w:rPr>
          <w:t>наказ МОН від 2 серпня №1093</w:t>
        </w:r>
      </w:hyperlink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галузями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з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характеристики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ідповідної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галузі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Вікторія Анатоліївна акцентувала увагу присутніх на видах оцінювання, а саме: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формувальне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атестація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(ДПА).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Формувальне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детального й конкретного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описового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зворотного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допомагає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учнівству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зрозуміти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над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Завдяки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зворотному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орієнтованому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учнівство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матиме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чіткіше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уявлення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те,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зробити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поліпшити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успішність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майбутньому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Формувальне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реалізовувати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поточної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так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зворотний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момент.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proofErr w:type="gram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ідсумкове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 (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тема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формальної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батькам та/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знати</w:t>
      </w: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E518DD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є </w:t>
      </w:r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ДПА</w:t>
      </w: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Оскільки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кожного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 та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курсу не є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обмеженою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реалізовувати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кінцевому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ідсумку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«прийти» до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сформованих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компетентностей.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ірити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ДПА.</w:t>
      </w:r>
    </w:p>
    <w:p w:rsidR="00147F05" w:rsidRPr="003D0156" w:rsidRDefault="00E518D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Також вона звернула увагу на те. чим </w:t>
      </w:r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відрізняються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традиційна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поточна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оцінка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поточне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оцінюванням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групами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результатів</w:t>
      </w:r>
      <w:proofErr w:type="spellEnd"/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Традиційну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здебільшого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спрямовано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умінь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стосуються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конкретного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отримував</w:t>
      </w:r>
      <w:proofErr w:type="spellEnd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конкретного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здебільшого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 контролю. 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Тоді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групами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орієнтовано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компетентностей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навичок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Замість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контролю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формувальне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тобто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спостерігає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поступом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Через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(бал)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зворотний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батьки,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чітке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уявлення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те,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наскільки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добре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навчається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огляду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розвинути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навички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Наприклад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двома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групами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мовно-літературна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галузь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Учитель</w:t>
      </w:r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обрати три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варіанти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зворотний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(бал)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групами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виставляти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зафіксувати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попрацює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межах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8DD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</w:t>
      </w:r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добре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спрацьовує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формувальне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зворотний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над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попрацювати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</w:t>
      </w:r>
      <w:proofErr w:type="spellEnd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вважатиме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достатньо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запропоновано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пояснено, як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результату,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очікуваного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результату (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очікуваних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запропонувавши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учнівству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Дзярик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В.А. розповіла присутнім про те, які є різновиди підсумкового оцінювання:</w:t>
      </w:r>
    </w:p>
    <w:p w:rsidR="00147F05" w:rsidRPr="003D0156" w:rsidRDefault="00147F05" w:rsidP="003D0156">
      <w:pPr>
        <w:numPr>
          <w:ilvl w:val="0"/>
          <w:numId w:val="7"/>
        </w:numPr>
        <w:shd w:val="clear" w:color="auto" w:fill="FFFFFF"/>
        <w:spacing w:after="0" w:line="360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тематичне</w:t>
      </w:r>
      <w:proofErr w:type="spellEnd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47F05" w:rsidRPr="003D0156" w:rsidRDefault="00147F05" w:rsidP="003D0156">
      <w:pPr>
        <w:numPr>
          <w:ilvl w:val="0"/>
          <w:numId w:val="7"/>
        </w:numPr>
        <w:shd w:val="clear" w:color="auto" w:fill="FFFFFF"/>
        <w:spacing w:before="100" w:beforeAutospacing="1" w:after="0" w:line="360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семестрове</w:t>
      </w:r>
      <w:proofErr w:type="spellEnd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47F05" w:rsidRPr="003D0156" w:rsidRDefault="00147F05" w:rsidP="003D0156">
      <w:pPr>
        <w:numPr>
          <w:ilvl w:val="0"/>
          <w:numId w:val="7"/>
        </w:numPr>
        <w:shd w:val="clear" w:color="auto" w:fill="FFFFFF"/>
        <w:spacing w:before="100" w:beforeAutospacing="1" w:after="0" w:line="360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ічне</w:t>
      </w:r>
      <w:proofErr w:type="spellEnd"/>
      <w:r w:rsidRPr="003D0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ідсумкового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фіксують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класному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Тематичне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охоплення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кількох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ДСБСО, </w:t>
      </w:r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межах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вивченого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впродовж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теми.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зауважити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ізновид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не є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обов’язковим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 закладу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ухвалити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Семестрове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групами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кожного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курсу.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виставлена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предмет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семестр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виставляють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стовпці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групами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потім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Наприклад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історії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орієнтується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наприкінці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семестру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виставляє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три за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семестр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скоригованою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семестрового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цілей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наступний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труднощів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постали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учнівством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коригування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ідсумкове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рік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виставляють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I та II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скоригованих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семестрових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середнім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арифметичним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оцінок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I та II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ічної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враховувати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динаміку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особистих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досягнень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учениці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впродовж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року. </w:t>
      </w:r>
    </w:p>
    <w:p w:rsidR="00147F05" w:rsidRPr="003D0156" w:rsidRDefault="00147F05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proofErr w:type="gram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скоригованим</w:t>
      </w:r>
      <w:proofErr w:type="spellEnd"/>
      <w:r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8DD" w:rsidRPr="003D0156" w:rsidRDefault="00060556" w:rsidP="000605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Як зазначила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Дзярик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В.А, д</w:t>
      </w:r>
      <w:r w:rsidR="00147F05" w:rsidRPr="000605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іти за 5‒6 класи звикли, що вони стараються впродовж вивчення теми, їхній результати враховуються</w:t>
      </w:r>
      <w:r w:rsidR="00147F05" w:rsidRPr="003D015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Тому </w:t>
      </w:r>
      <w:r w:rsidR="00147F05" w:rsidRPr="00204F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відмовлятися від оцінювання впродовж семестру недоцільно, однак кожна оцінка, яку отримує учень / учениця має бути йому / їй зрозумілою. </w:t>
      </w:r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отримав</w:t>
      </w:r>
      <w:proofErr w:type="spellEnd"/>
      <w:proofErr w:type="gram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gram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п’ять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вісім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Наприклад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учень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учениця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української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взаємодіє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5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балів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з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значно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вищі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бали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</w:t>
      </w:r>
      <w:proofErr w:type="gram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ірка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слугує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уваги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приділити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саме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письмовій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="00147F05" w:rsidRPr="003D015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E3680D" w:rsidRPr="003D0156" w:rsidRDefault="00E3680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Вікторія Анатоліївна підкреслила, </w:t>
      </w:r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>що після попереднього обговорення запропонованих моделей оцінювання (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МОН України «Як оцінювати учнівство 5–9 класів НУШ») є необхідність погодити Правила і процедури оцінювання результатів навчання учнів 5–7 класів НУШ в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Тиманівському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ліцеї</w:t>
      </w:r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Тульчинської міської ради Вінницької області. </w:t>
      </w:r>
    </w:p>
    <w:p w:rsidR="003D0156" w:rsidRPr="003D0156" w:rsidRDefault="00E3680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lastRenderedPageBreak/>
        <w:t>Дзярик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>апропонувала переглянути презентацію</w:t>
      </w:r>
      <w:r w:rsidR="00060556">
        <w:rPr>
          <w:rFonts w:ascii="Times New Roman" w:hAnsi="Times New Roman" w:cs="Times New Roman"/>
          <w:sz w:val="24"/>
          <w:szCs w:val="24"/>
          <w:lang w:val="uk-UA"/>
        </w:rPr>
        <w:t xml:space="preserve"> «Щодо оцінювання учнів</w:t>
      </w:r>
      <w:r w:rsidR="00C2639D">
        <w:rPr>
          <w:rFonts w:ascii="Times New Roman" w:hAnsi="Times New Roman" w:cs="Times New Roman"/>
          <w:sz w:val="24"/>
          <w:szCs w:val="24"/>
          <w:lang w:val="uk-UA"/>
        </w:rPr>
        <w:t xml:space="preserve"> 5-9 класів»</w:t>
      </w:r>
      <w:bookmarkStart w:id="0" w:name="_GoBack"/>
      <w:bookmarkEnd w:id="0"/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і детально розповіла про порядок здійснення підсумкового оцінювання за групами результатів, семестрового та річного оцінювання та внесення результатів оцінювання навчання здобувачів освіти у класні журнали/свідоцтва досягнень. 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третю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журналу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80D" w:rsidRPr="003D0156" w:rsidRDefault="003D0156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Дзярик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В.А. з</w:t>
      </w:r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>ауважила, що семестрова оцінка виставляється за підсумками комплексної підсумкової роботи або на основі підсумкових робіт за однією або декількома групами результатів з урахуванням тема</w:t>
      </w:r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тичного оцінювання. (Додаток 1).</w:t>
      </w:r>
    </w:p>
    <w:p w:rsidR="000E4395" w:rsidRPr="003D0156" w:rsidRDefault="00E3680D" w:rsidP="003D015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Дзярик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В.А. н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аголосила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динаміку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учениці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семестру.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результат</w:t>
      </w:r>
      <w:r w:rsidRPr="003D0156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записувати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3D015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>.</w:t>
      </w:r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b/>
          <w:sz w:val="24"/>
          <w:szCs w:val="24"/>
        </w:rPr>
        <w:t>ВИСТУПИЛИ</w:t>
      </w:r>
      <w:r w:rsidRPr="003D015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0F8D" w:rsidRPr="003D0156" w:rsidRDefault="007E0F8D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Баланова</w:t>
      </w:r>
      <w:proofErr w:type="spellEnd"/>
      <w:r w:rsidRPr="003D01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Л.А.,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>географії та біології</w:t>
      </w:r>
      <w:r w:rsidR="000E4395" w:rsidRPr="003D0156">
        <w:rPr>
          <w:rFonts w:ascii="Times New Roman" w:hAnsi="Times New Roman" w:cs="Times New Roman"/>
          <w:sz w:val="24"/>
          <w:szCs w:val="24"/>
        </w:rPr>
        <w:t xml:space="preserve">, 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с</w:t>
      </w:r>
      <w:r w:rsidR="00E3680D" w:rsidRPr="003D0156">
        <w:rPr>
          <w:rFonts w:ascii="Times New Roman" w:hAnsi="Times New Roman" w:cs="Times New Roman"/>
          <w:sz w:val="24"/>
          <w:szCs w:val="24"/>
        </w:rPr>
        <w:t>хвалила</w:t>
      </w:r>
      <w:proofErr w:type="spellEnd"/>
      <w:r w:rsidR="00E3680D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80D" w:rsidRPr="003D0156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="00E3680D" w:rsidRPr="003D0156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у 2024-2025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F8D" w:rsidRPr="003D0156" w:rsidRDefault="007E0F8D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Людмила Анатоліївна з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апропонувала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за основу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Свідоцтво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F8D" w:rsidRPr="003D0156" w:rsidRDefault="007E0F8D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Бойко О.В.,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читель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>бі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>історії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та правознавства</w:t>
      </w:r>
      <w:r w:rsidR="000E4395"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, запропонував при формуванні семестрової оцінки використовувати середнє арифметичне поточного та підсумкового оцінювання, яке проводилося протягом семестру з відповідними позначками (ГР1, ГР2, ГР3, ГР4, ПР ГР1) за формулою:  </w:t>
      </w:r>
    </w:p>
    <w:p w:rsidR="007E0F8D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ПР  ГР1 + ПО ГР1 = СО ГР1 ПР – підсумкові роботи (контрольні, лабораторні, практичні…)</w:t>
      </w:r>
    </w:p>
    <w:p w:rsidR="007E0F8D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F8D" w:rsidRPr="003D0156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</w:rPr>
        <w:t>поточне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0F8D" w:rsidRPr="003D0156" w:rsidRDefault="007E0F8D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Захарова Г.О.,</w:t>
      </w:r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, 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схвалити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у 2024-2025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95" w:rsidRPr="003D0156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0E4395"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b/>
          <w:sz w:val="24"/>
          <w:szCs w:val="24"/>
        </w:rPr>
        <w:t xml:space="preserve">УХВАЛИЛИ: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Схвалити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класі</w:t>
      </w:r>
      <w:proofErr w:type="gramStart"/>
      <w:r w:rsidRPr="003D015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D0156">
        <w:rPr>
          <w:rFonts w:ascii="Times New Roman" w:hAnsi="Times New Roman" w:cs="Times New Roman"/>
          <w:sz w:val="24"/>
          <w:szCs w:val="24"/>
        </w:rPr>
        <w:t xml:space="preserve"> у 2024-2025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1.1.  Оцінювання результатів навчання учнів 5-7 класів НУШ здійснювати відповідно до «Рекомендацій щодо оцінювання результатів навчання учнів/учениць 5–9-х класів закладів загальної середньої освіти», затверджених МОН України від 02.08.2024 №1093.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записув</w:t>
      </w:r>
      <w:r w:rsidR="007E0F8D" w:rsidRPr="003D0156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="007E0F8D" w:rsidRPr="003D015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7E0F8D" w:rsidRPr="003D015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1.3. Підсумкове оцінювання за семестр здійснювати за групами результатів навчання, що передбачені Свідоцтвом досягнень за освітніми галузями (додаток 3 до «Рекомендацій щодо оцінювання результатів навчання учнів / учениць 5–9-х класів закладів загальної середньої освіти»), з урахуванням різних форм і видів навчальної діяльності.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1.4. Для формування висновків щодо рівня досягнення обов'язкових результатів навчання за семестр можна: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- виконати комплексну підсумкову роботу, завдання якої дозволяють установити результати навчання за всіма групами результатів, що визначені у Свідоцтві досягнень за освітніми галузями;  - виконати окремі підсумкові роботи для кожної групи результатів, що визначені у Свідоцтві досягнень за освітніми галузями.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1.5.  При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семестрової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групою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середнє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арифметичне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поточного та </w:t>
      </w: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ідсумкового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проводилося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семестру та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позначається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класному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позначками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(ГР1, ГР2, ГР3, ГР4, ПР ГР1) за формулою:  </w:t>
      </w:r>
      <w:proofErr w:type="gramStart"/>
      <w:r w:rsidRPr="003D015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 xml:space="preserve">  ГР1 + ПО ГР1 = СО ГР1 ПР –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підсумкові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контрольні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лабораторні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…) ПО –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поточне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 1.6.  На </w:t>
      </w: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виставляти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за семестр з кожного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предмета/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1.7. 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за семестр/</w:t>
      </w: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скоригованою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395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156">
        <w:rPr>
          <w:rFonts w:ascii="Times New Roman" w:hAnsi="Times New Roman" w:cs="Times New Roman"/>
          <w:sz w:val="24"/>
          <w:szCs w:val="24"/>
        </w:rPr>
        <w:t xml:space="preserve">1.8. 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ічної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семестрової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за І та/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ІІ семестр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. 9-10 Порядку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) закладу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r w:rsidRPr="003D0156">
        <w:rPr>
          <w:rFonts w:ascii="Times New Roman" w:hAnsi="Times New Roman" w:cs="Times New Roman"/>
          <w:sz w:val="24"/>
          <w:szCs w:val="24"/>
        </w:rPr>
        <w:lastRenderedPageBreak/>
        <w:t>14.07.2015 № 762 (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Повторне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семестрове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письмових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охоплювати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3D015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тем,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вивчених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семестру, та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графіка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>,</w:t>
      </w:r>
      <w:r w:rsidR="007E0F8D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8D" w:rsidRPr="003D0156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  <w:r w:rsidR="007E0F8D" w:rsidRPr="003D0156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3D01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оформляти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наказом директора </w:t>
      </w:r>
      <w:r w:rsidR="007E0F8D" w:rsidRPr="003D0156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3D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F8D" w:rsidRPr="003D0156" w:rsidRDefault="007E0F8D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0E4395" w:rsidP="003D015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D01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015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6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3D0156">
        <w:rPr>
          <w:rFonts w:ascii="Times New Roman" w:hAnsi="Times New Roman" w:cs="Times New Roman"/>
          <w:sz w:val="24"/>
          <w:szCs w:val="24"/>
        </w:rPr>
        <w:t xml:space="preserve"> одноголосно 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D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3D01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D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СЛУХАЛИ: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Миколишену</w:t>
      </w:r>
      <w:proofErr w:type="spellEnd"/>
      <w:r w:rsidRPr="003D015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С.А.,</w:t>
      </w:r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директора ліцею, яка ознайомила присутніх з </w:t>
      </w:r>
      <w:proofErr w:type="spellStart"/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>проєктом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орієнтовного плану підвищення кваліфікації педагогічних працівників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Тиманівського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ліцею Тульчинської міської ради на 202</w:t>
      </w:r>
      <w:r w:rsidR="00F73DA8" w:rsidRPr="003D015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>Стелла Анатоліївна зазначила, що кожен педагогічний працівник подав адміністрації ліцею, пропозиції щодо підвищення кваліфікації на 202</w:t>
      </w:r>
      <w:r w:rsidR="00F73DA8"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 з інформацією про основні напрямки,  суб’єкта підвищення кваліфікації.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урахуванням пропозицій </w:t>
      </w:r>
      <w:proofErr w:type="spellStart"/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>педпрацівників</w:t>
      </w:r>
      <w:proofErr w:type="spellEnd"/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адміністрацією школи сформовано орієнтовний план закладу освіти на 202</w:t>
      </w:r>
      <w:r w:rsidR="00F73DA8"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рік.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В обговоренні взяли участь: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Вовк А.І., заступник директора з виховної роботи;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Паламар О.М., голова профкому; Мельник Н.А., голова методичного об’єднання вчителів початкових класів.</w:t>
      </w:r>
    </w:p>
    <w:p w:rsidR="00F73DA8" w:rsidRPr="003D0156" w:rsidRDefault="00E3680D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DA8" w:rsidRPr="003D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УХВАЛИЛИ: </w:t>
      </w:r>
    </w:p>
    <w:p w:rsidR="00F73DA8" w:rsidRPr="003D0156" w:rsidRDefault="00F73DA8" w:rsidP="003D015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Взяти до відома </w:t>
      </w:r>
      <w:proofErr w:type="spellStart"/>
      <w:r w:rsidRPr="003D0156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орієнтовного плану підвищення кваліфікації педагогічних працівників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Тиманівського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ліцею Тульчинської міської ради на 2025 рік.</w:t>
      </w:r>
    </w:p>
    <w:p w:rsidR="00BE438A" w:rsidRPr="003D0156" w:rsidRDefault="00BE438A" w:rsidP="003D0156">
      <w:pPr>
        <w:pStyle w:val="a3"/>
        <w:ind w:left="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438A" w:rsidRPr="003D0156" w:rsidRDefault="00BE438A" w:rsidP="003D0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DA8" w:rsidRPr="003D0156" w:rsidRDefault="00F73DA8" w:rsidP="003D0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DA8" w:rsidRPr="003D0156" w:rsidRDefault="00F73DA8" w:rsidP="003D0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DA8" w:rsidRPr="003D0156" w:rsidRDefault="00F73DA8" w:rsidP="003D0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DA8" w:rsidRPr="003D0156" w:rsidRDefault="00F73DA8" w:rsidP="003D0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DA8" w:rsidRPr="003D0156" w:rsidRDefault="00F73DA8" w:rsidP="003D0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680D" w:rsidRPr="003D0156" w:rsidRDefault="00E3680D" w:rsidP="003D0156">
      <w:pPr>
        <w:shd w:val="clear" w:color="auto" w:fill="FFFFFF" w:themeFill="background1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Голова  педагогічної ради                        С.А.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</w:p>
    <w:p w:rsidR="00E3680D" w:rsidRPr="003D0156" w:rsidRDefault="00E3680D" w:rsidP="003D0156">
      <w:pPr>
        <w:shd w:val="clear" w:color="auto" w:fill="FFFFFF" w:themeFill="background1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Т. В.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Коштира</w:t>
      </w:r>
      <w:proofErr w:type="spellEnd"/>
    </w:p>
    <w:p w:rsidR="00E3680D" w:rsidRPr="003D0156" w:rsidRDefault="00E3680D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680D" w:rsidRPr="003D0156" w:rsidRDefault="00E3680D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680D" w:rsidRPr="003D0156" w:rsidRDefault="00E3680D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680D" w:rsidRPr="003D0156" w:rsidRDefault="00E3680D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680D" w:rsidRPr="003D0156" w:rsidRDefault="00E3680D" w:rsidP="003D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СПИСОК ПЕДАГОГІЧНИХ ПРАЦІВНИКІВ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Вовк А.І.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Семенова Н.В.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Бойко О.В.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Вовк Л.В.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Миколишен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Халімон С.М.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Вергелес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Н.П.</w:t>
      </w:r>
    </w:p>
    <w:p w:rsidR="00E3680D" w:rsidRPr="003D0156" w:rsidRDefault="00E3680D" w:rsidP="003D0156">
      <w:pPr>
        <w:numPr>
          <w:ilvl w:val="0"/>
          <w:numId w:val="6"/>
        </w:num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Чорний А.П.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Коштира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Косюк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12. Мельник Н.А.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Процько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14. Паламар О.М.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>15. Захарова Г.О.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Баланова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Курапко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E3680D" w:rsidRPr="003D0156" w:rsidRDefault="00E3680D" w:rsidP="003D01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Олейнікова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E3680D" w:rsidRPr="003D0156" w:rsidRDefault="00E3680D" w:rsidP="003D01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Дзярик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</w:p>
    <w:p w:rsidR="00E3680D" w:rsidRPr="003D0156" w:rsidRDefault="00E3680D" w:rsidP="003D01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proofErr w:type="spellStart"/>
      <w:r w:rsidRPr="003D0156">
        <w:rPr>
          <w:rFonts w:ascii="Times New Roman" w:hAnsi="Times New Roman" w:cs="Times New Roman"/>
          <w:sz w:val="24"/>
          <w:szCs w:val="24"/>
          <w:lang w:val="uk-UA"/>
        </w:rPr>
        <w:t>Бичек</w:t>
      </w:r>
      <w:proofErr w:type="spellEnd"/>
      <w:r w:rsidRPr="003D0156">
        <w:rPr>
          <w:rFonts w:ascii="Times New Roman" w:hAnsi="Times New Roman" w:cs="Times New Roman"/>
          <w:sz w:val="24"/>
          <w:szCs w:val="24"/>
          <w:lang w:val="uk-UA"/>
        </w:rPr>
        <w:t xml:space="preserve"> К.Ю.</w:t>
      </w:r>
    </w:p>
    <w:p w:rsidR="00E3680D" w:rsidRPr="003D0156" w:rsidRDefault="00E3680D" w:rsidP="003D01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E438A" w:rsidRPr="003D0156" w:rsidRDefault="00BE438A" w:rsidP="003D015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438A" w:rsidRPr="003D0156" w:rsidRDefault="00BE438A" w:rsidP="003D015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438A" w:rsidRPr="003D0156" w:rsidRDefault="00BE438A" w:rsidP="003D015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0D" w:rsidRPr="003D0156" w:rsidRDefault="00E3680D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E438A" w:rsidRPr="003D0156" w:rsidRDefault="00BE438A" w:rsidP="003D015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36366" w:rsidRPr="003D0156" w:rsidRDefault="00B36366" w:rsidP="003D015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E4395" w:rsidRPr="003D0156" w:rsidRDefault="00BE438A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8C420" wp14:editId="7968E1C7">
            <wp:extent cx="6152515" cy="29845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0156" w:rsidRDefault="003D015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0156" w:rsidRDefault="003D015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0156" w:rsidRDefault="003D015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0156" w:rsidRDefault="003D015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0156" w:rsidRPr="003D0156" w:rsidRDefault="003D015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366" w:rsidRPr="003D0156" w:rsidRDefault="00B36366" w:rsidP="003D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3D015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Додаток 2</w:t>
      </w:r>
    </w:p>
    <w:p w:rsidR="00B36366" w:rsidRPr="003D0156" w:rsidRDefault="00B36366" w:rsidP="003D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1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Орієнтовного плану підвищення кваліфікації педагогічних працівників </w:t>
      </w:r>
      <w:proofErr w:type="spellStart"/>
      <w:r w:rsidRPr="003D0156">
        <w:rPr>
          <w:rFonts w:ascii="Times New Roman" w:hAnsi="Times New Roman" w:cs="Times New Roman"/>
          <w:b/>
          <w:sz w:val="24"/>
          <w:szCs w:val="24"/>
          <w:lang w:val="uk-UA"/>
        </w:rPr>
        <w:t>Тиманівського</w:t>
      </w:r>
      <w:proofErr w:type="spellEnd"/>
      <w:r w:rsidRPr="003D01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ліцею Тульчинської міської ради на 2025 рік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"/>
        <w:gridCol w:w="2128"/>
        <w:gridCol w:w="2835"/>
        <w:gridCol w:w="1134"/>
        <w:gridCol w:w="1055"/>
        <w:gridCol w:w="1290"/>
        <w:gridCol w:w="1589"/>
      </w:tblGrid>
      <w:tr w:rsidR="00B36366" w:rsidRPr="003D0156" w:rsidTr="00084756">
        <w:tc>
          <w:tcPr>
            <w:tcW w:w="532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8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835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1134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</w:t>
            </w:r>
          </w:p>
        </w:tc>
        <w:tc>
          <w:tcPr>
            <w:tcW w:w="1055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Обсяг годин</w:t>
            </w:r>
          </w:p>
        </w:tc>
        <w:tc>
          <w:tcPr>
            <w:tcW w:w="1290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Вид </w:t>
            </w:r>
          </w:p>
        </w:tc>
        <w:tc>
          <w:tcPr>
            <w:tcW w:w="1589" w:type="dxa"/>
          </w:tcPr>
          <w:p w:rsidR="00B36366" w:rsidRPr="003D0156" w:rsidRDefault="00B3636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навчання</w:t>
            </w:r>
          </w:p>
        </w:tc>
      </w:tr>
      <w:tr w:rsidR="00CB2C7A" w:rsidRPr="003D0156" w:rsidTr="00163E37">
        <w:trPr>
          <w:trHeight w:val="814"/>
        </w:trPr>
        <w:tc>
          <w:tcPr>
            <w:tcW w:w="532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8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Миколишена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2835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Особливості організації освітнього процесу в інклюзивному класі.</w:t>
            </w:r>
          </w:p>
        </w:tc>
        <w:tc>
          <w:tcPr>
            <w:tcW w:w="1134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</w:tc>
        <w:tc>
          <w:tcPr>
            <w:tcW w:w="1589" w:type="dxa"/>
            <w:vAlign w:val="center"/>
          </w:tcPr>
          <w:p w:rsidR="00CB2C7A" w:rsidRPr="003D0156" w:rsidRDefault="00CB2C7A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Косюк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Удосконалення мовленнєвої компетентності вчителя в освітньому просторі НУШ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915"/>
        </w:trPr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Мельник Н.А.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Удосконалення мовленнєвої компетентності вчителя в освітньому просторі НУШ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Олейнікова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Merge w:val="restart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Merge w:val="restart"/>
            <w:vAlign w:val="bottom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Паламар О.М.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української мови та літератури ЗЗСО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І-ІІІ рівнів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852"/>
        </w:trPr>
        <w:tc>
          <w:tcPr>
            <w:tcW w:w="532" w:type="dxa"/>
            <w:vMerge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Психолого-педагогічна взаємодія з сучасними підлітками: виклики та шляхи реалізації.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250"/>
        </w:trPr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Коштира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Психолого-педагогічні методи та інструменти роботи з психологічною травмою,обумовленою воєнним станом.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Бойко О.В.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tabs>
                <w:tab w:val="center" w:pos="1309"/>
                <w:tab w:val="right" w:pos="2619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історії та правознавства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F73DA8" w:rsidRPr="003D0156" w:rsidTr="00163E37">
        <w:tc>
          <w:tcPr>
            <w:tcW w:w="532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8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Миколишен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835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Особливості організації освітнього процесу в інклюзивному класі.</w:t>
            </w:r>
          </w:p>
        </w:tc>
        <w:tc>
          <w:tcPr>
            <w:tcW w:w="1134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</w:tc>
        <w:tc>
          <w:tcPr>
            <w:tcW w:w="1589" w:type="dxa"/>
            <w:vAlign w:val="center"/>
          </w:tcPr>
          <w:p w:rsidR="00F73DA8" w:rsidRPr="003D0156" w:rsidRDefault="00F73DA8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Merge w:val="restart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Дзярик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Психоемоційна підтримка учасників освітнього процесу: практикум для зміцнення власних ресурсів.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1260"/>
        </w:trPr>
        <w:tc>
          <w:tcPr>
            <w:tcW w:w="532" w:type="dxa"/>
            <w:vMerge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Інфомедійна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грамотність сучасного вчителя-філолога в умовах цифрової освіти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63E37" w:rsidRPr="003D0156" w:rsidRDefault="00163E37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Тематичні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965"/>
        </w:trPr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Процько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1377"/>
        </w:trPr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Чорний А.П.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фізичної культури та захисту України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rPr>
          <w:trHeight w:val="1402"/>
        </w:trPr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Семенова Н.В.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української мови та літератури ЗЗСО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І-ІІІ рівнів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Баланова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географії ЗЗСО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І-ІІІ рівнів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84756" w:rsidRPr="003D0156" w:rsidTr="00163E37">
        <w:tc>
          <w:tcPr>
            <w:tcW w:w="532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8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Бичек</w:t>
            </w:r>
            <w:proofErr w:type="spellEnd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К.Ю.</w:t>
            </w:r>
          </w:p>
        </w:tc>
        <w:tc>
          <w:tcPr>
            <w:tcW w:w="283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хімії ЗЗСО</w:t>
            </w: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І-ІІІ рівнів</w:t>
            </w:r>
          </w:p>
        </w:tc>
        <w:tc>
          <w:tcPr>
            <w:tcW w:w="1134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ВАБО</w:t>
            </w:r>
          </w:p>
        </w:tc>
        <w:tc>
          <w:tcPr>
            <w:tcW w:w="1055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90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Фахові курси</w:t>
            </w:r>
          </w:p>
        </w:tc>
        <w:tc>
          <w:tcPr>
            <w:tcW w:w="1589" w:type="dxa"/>
            <w:vAlign w:val="center"/>
          </w:tcPr>
          <w:p w:rsidR="00084756" w:rsidRPr="003D0156" w:rsidRDefault="00084756" w:rsidP="003D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</w:tbl>
    <w:p w:rsidR="00B36366" w:rsidRPr="003D0156" w:rsidRDefault="00B36366" w:rsidP="003D01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36366" w:rsidRPr="003D0156" w:rsidSect="000E4395">
      <w:footerReference w:type="default" r:id="rId10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16" w:rsidRDefault="00AE3516" w:rsidP="007E0F8D">
      <w:pPr>
        <w:spacing w:after="0" w:line="240" w:lineRule="auto"/>
      </w:pPr>
      <w:r>
        <w:separator/>
      </w:r>
    </w:p>
  </w:endnote>
  <w:endnote w:type="continuationSeparator" w:id="0">
    <w:p w:rsidR="00AE3516" w:rsidRDefault="00AE3516" w:rsidP="007E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94783"/>
      <w:docPartObj>
        <w:docPartGallery w:val="Page Numbers (Bottom of Page)"/>
        <w:docPartUnique/>
      </w:docPartObj>
    </w:sdtPr>
    <w:sdtEndPr/>
    <w:sdtContent>
      <w:p w:rsidR="007E0F8D" w:rsidRDefault="007E0F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9D">
          <w:rPr>
            <w:noProof/>
          </w:rPr>
          <w:t>8</w:t>
        </w:r>
        <w:r>
          <w:fldChar w:fldCharType="end"/>
        </w:r>
      </w:p>
    </w:sdtContent>
  </w:sdt>
  <w:p w:rsidR="007E0F8D" w:rsidRDefault="007E0F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16" w:rsidRDefault="00AE3516" w:rsidP="007E0F8D">
      <w:pPr>
        <w:spacing w:after="0" w:line="240" w:lineRule="auto"/>
      </w:pPr>
      <w:r>
        <w:separator/>
      </w:r>
    </w:p>
  </w:footnote>
  <w:footnote w:type="continuationSeparator" w:id="0">
    <w:p w:rsidR="00AE3516" w:rsidRDefault="00AE3516" w:rsidP="007E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F7E"/>
    <w:multiLevelType w:val="multilevel"/>
    <w:tmpl w:val="59C41F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D145ED5"/>
    <w:multiLevelType w:val="hybridMultilevel"/>
    <w:tmpl w:val="B810DC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E93A16"/>
    <w:multiLevelType w:val="hybridMultilevel"/>
    <w:tmpl w:val="3E8CDF2C"/>
    <w:lvl w:ilvl="0" w:tplc="6C58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E85740"/>
    <w:multiLevelType w:val="multilevel"/>
    <w:tmpl w:val="F794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90462"/>
    <w:multiLevelType w:val="multilevel"/>
    <w:tmpl w:val="CB5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B542E"/>
    <w:multiLevelType w:val="hybridMultilevel"/>
    <w:tmpl w:val="C9984C8E"/>
    <w:lvl w:ilvl="0" w:tplc="20B08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98502A"/>
    <w:multiLevelType w:val="hybridMultilevel"/>
    <w:tmpl w:val="81342D4A"/>
    <w:lvl w:ilvl="0" w:tplc="C812D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C8"/>
    <w:rsid w:val="00060556"/>
    <w:rsid w:val="00084756"/>
    <w:rsid w:val="000E4395"/>
    <w:rsid w:val="00147F05"/>
    <w:rsid w:val="00163E37"/>
    <w:rsid w:val="00204F66"/>
    <w:rsid w:val="00232123"/>
    <w:rsid w:val="003A0F29"/>
    <w:rsid w:val="003D0156"/>
    <w:rsid w:val="0042621F"/>
    <w:rsid w:val="00504A1A"/>
    <w:rsid w:val="00514722"/>
    <w:rsid w:val="005356E8"/>
    <w:rsid w:val="006100DA"/>
    <w:rsid w:val="007E0F8D"/>
    <w:rsid w:val="0089782A"/>
    <w:rsid w:val="00A73B68"/>
    <w:rsid w:val="00AE3516"/>
    <w:rsid w:val="00B36366"/>
    <w:rsid w:val="00BE438A"/>
    <w:rsid w:val="00C2639D"/>
    <w:rsid w:val="00CB2C7A"/>
    <w:rsid w:val="00E3680D"/>
    <w:rsid w:val="00E518DD"/>
    <w:rsid w:val="00F73DA8"/>
    <w:rsid w:val="00FC4812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F8D"/>
  </w:style>
  <w:style w:type="paragraph" w:styleId="a6">
    <w:name w:val="footer"/>
    <w:basedOn w:val="a"/>
    <w:link w:val="a7"/>
    <w:uiPriority w:val="99"/>
    <w:unhideWhenUsed/>
    <w:rsid w:val="007E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F8D"/>
  </w:style>
  <w:style w:type="paragraph" w:styleId="a8">
    <w:name w:val="Balloon Text"/>
    <w:basedOn w:val="a"/>
    <w:link w:val="a9"/>
    <w:uiPriority w:val="99"/>
    <w:semiHidden/>
    <w:unhideWhenUsed/>
    <w:rsid w:val="00BE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38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3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680D"/>
    <w:rPr>
      <w:b/>
      <w:bCs/>
    </w:rPr>
  </w:style>
  <w:style w:type="table" w:styleId="ac">
    <w:name w:val="Table Grid"/>
    <w:basedOn w:val="a1"/>
    <w:uiPriority w:val="39"/>
    <w:rsid w:val="00B3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F8D"/>
  </w:style>
  <w:style w:type="paragraph" w:styleId="a6">
    <w:name w:val="footer"/>
    <w:basedOn w:val="a"/>
    <w:link w:val="a7"/>
    <w:uiPriority w:val="99"/>
    <w:unhideWhenUsed/>
    <w:rsid w:val="007E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F8D"/>
  </w:style>
  <w:style w:type="paragraph" w:styleId="a8">
    <w:name w:val="Balloon Text"/>
    <w:basedOn w:val="a"/>
    <w:link w:val="a9"/>
    <w:uiPriority w:val="99"/>
    <w:semiHidden/>
    <w:unhideWhenUsed/>
    <w:rsid w:val="00BE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38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3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680D"/>
    <w:rPr>
      <w:b/>
      <w:bCs/>
    </w:rPr>
  </w:style>
  <w:style w:type="table" w:styleId="ac">
    <w:name w:val="Table Grid"/>
    <w:basedOn w:val="a1"/>
    <w:uiPriority w:val="39"/>
    <w:rsid w:val="00B3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npa/pro-zatverdzhennia-rekomendatsii-shchodo-otsiniuvannia-rezultativ-navchann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2024-11-28T09:19:00Z</cp:lastPrinted>
  <dcterms:created xsi:type="dcterms:W3CDTF">2024-11-27T10:13:00Z</dcterms:created>
  <dcterms:modified xsi:type="dcterms:W3CDTF">2024-11-28T09:36:00Z</dcterms:modified>
</cp:coreProperties>
</file>