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E207D0" w:rsidRPr="00E207D0" w:rsidTr="00E207D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07D0">
              <w:rPr>
                <w:rFonts w:eastAsia="Times New Roman" w:cs="Times New Roman"/>
                <w:noProof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E612759" wp14:editId="166219CF">
                      <wp:extent cx="304800" cy="304800"/>
                      <wp:effectExtent l="0" t="0" r="0" b="0"/>
                      <wp:docPr id="2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E72DCB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dJ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y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j13SecBAADEAwAADgAAAAAAAAAAAAAAAAAuAgAAZHJzL2Uyb0RvYy54bWxQSwECLQAU&#10;AAYACAAAACEATKDpLNgAAAADAQAADwAAAAAAAAAAAAAAAABBBAAAZHJzL2Rvd25yZXYueG1sUEsF&#10;BgAAAAAEAAQA8wAAAEY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207D0" w:rsidRPr="00E207D0" w:rsidTr="00E207D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300"/>
              <w:ind w:left="450" w:right="4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07D0"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E207D0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E207D0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E207D0" w:rsidRPr="00E207D0" w:rsidTr="00E207D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ind w:left="450" w:right="4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від</w:t>
            </w:r>
            <w:proofErr w:type="spellEnd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4 червня 2025 р. № 658</w:t>
            </w:r>
            <w:r w:rsidRPr="00E207D0">
              <w:rPr>
                <w:rFonts w:eastAsia="Times New Roman" w:cs="Times New Roman"/>
                <w:szCs w:val="24"/>
                <w:lang w:eastAsia="ru-RU"/>
              </w:rPr>
              <w:br/>
            </w: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E207D0" w:rsidRPr="00E207D0" w:rsidRDefault="00E207D0" w:rsidP="00E207D0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Cs w:val="24"/>
          <w:lang w:eastAsia="ru-RU"/>
        </w:rPr>
      </w:pPr>
      <w:bookmarkStart w:id="0" w:name="n3"/>
      <w:bookmarkEnd w:id="0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затвердження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Типової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програми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дітьми</w:t>
      </w:r>
      <w:proofErr w:type="spellEnd"/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" w:name="n4"/>
      <w:bookmarkEnd w:id="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"https://zakon.rada.gov.ua/laws/show/2402-14" \l "n108" \t "_blank"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>частини</w:t>
      </w:r>
      <w:proofErr w:type="spellEnd"/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>шостої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статті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10 Закону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України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“Про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охорону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”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Кабінет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Міністрів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України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b/>
          <w:bCs/>
          <w:color w:val="333333"/>
          <w:spacing w:val="30"/>
          <w:szCs w:val="24"/>
          <w:lang w:eastAsia="ru-RU"/>
        </w:rPr>
        <w:t>постановляє</w:t>
      </w:r>
      <w:proofErr w:type="spellEnd"/>
      <w:r w:rsidRPr="00E207D0">
        <w:rPr>
          <w:rFonts w:eastAsia="Times New Roman" w:cs="Times New Roman"/>
          <w:b/>
          <w:bCs/>
          <w:color w:val="333333"/>
          <w:spacing w:val="30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" w:name="n5"/>
      <w:bookmarkEnd w:id="2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Затвердити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"https://zakon.rada.gov.ua/laws/show/658-2025-%D0%BF" \l "n9"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Типову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програму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додається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" w:name="n6"/>
      <w:bookmarkEnd w:id="3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2.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Державній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службі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справах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провести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інформаційно-роз’яснювальну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роботу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серед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зазначених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"https://zakon.rada.gov.ua/laws/show/658-2025-%D0%BF" \l "n11"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пункті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2</w: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затвердженої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цією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постановою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необхідність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розроблення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документів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також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вжиття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передбачених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E207D0" w:rsidRPr="00E207D0" w:rsidTr="00E207D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300" w:after="1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4" w:name="n7"/>
            <w:bookmarkEnd w:id="4"/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Прем'єр-міністр</w:t>
            </w:r>
            <w:proofErr w:type="spellEnd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30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Д. ШМИГАЛЬ</w:t>
            </w:r>
          </w:p>
        </w:tc>
      </w:tr>
      <w:tr w:rsidR="00E207D0" w:rsidRPr="00E207D0" w:rsidTr="00E207D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300" w:after="1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Інд</w:t>
            </w:r>
            <w:proofErr w:type="spellEnd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. 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30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br/>
            </w:r>
          </w:p>
        </w:tc>
      </w:tr>
    </w:tbl>
    <w:p w:rsidR="00E207D0" w:rsidRPr="00E207D0" w:rsidRDefault="00E207D0" w:rsidP="00E207D0">
      <w:pPr>
        <w:rPr>
          <w:rFonts w:eastAsia="Times New Roman" w:cs="Times New Roman"/>
          <w:szCs w:val="24"/>
          <w:lang w:eastAsia="ru-RU"/>
        </w:rPr>
      </w:pPr>
      <w:r w:rsidRPr="00E207D0">
        <w:rPr>
          <w:rFonts w:eastAsia="Times New Roman" w:cs="Times New Roman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E207D0" w:rsidRPr="00E207D0" w:rsidTr="00E207D0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rPr>
                <w:rFonts w:eastAsia="Times New Roman" w:cs="Times New Roman"/>
                <w:szCs w:val="24"/>
                <w:lang w:eastAsia="ru-RU"/>
              </w:rPr>
            </w:pPr>
            <w:bookmarkStart w:id="5" w:name="n98"/>
            <w:bookmarkStart w:id="6" w:name="n8"/>
            <w:bookmarkEnd w:id="5"/>
            <w:bookmarkEnd w:id="6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ЗАТВЕРДЖЕНО</w:t>
            </w:r>
            <w:r w:rsidRPr="00E207D0">
              <w:rPr>
                <w:rFonts w:eastAsia="Times New Roman" w:cs="Times New Roman"/>
                <w:szCs w:val="24"/>
                <w:lang w:eastAsia="ru-RU"/>
              </w:rPr>
              <w:br/>
            </w: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постановою</w:t>
            </w:r>
            <w:proofErr w:type="spellEnd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Кабінету</w:t>
            </w:r>
            <w:proofErr w:type="spellEnd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Міністрів</w:t>
            </w:r>
            <w:proofErr w:type="spellEnd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України</w:t>
            </w:r>
            <w:proofErr w:type="spellEnd"/>
            <w:r w:rsidRPr="00E207D0">
              <w:rPr>
                <w:rFonts w:eastAsia="Times New Roman" w:cs="Times New Roman"/>
                <w:szCs w:val="24"/>
                <w:lang w:eastAsia="ru-RU"/>
              </w:rPr>
              <w:br/>
            </w:r>
            <w:proofErr w:type="spellStart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від</w:t>
            </w:r>
            <w:proofErr w:type="spellEnd"/>
            <w:r w:rsidRPr="00E207D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4 червня 2025 р. № 658</w:t>
            </w:r>
          </w:p>
        </w:tc>
      </w:tr>
    </w:tbl>
    <w:p w:rsidR="00E207D0" w:rsidRPr="00E207D0" w:rsidRDefault="00E207D0" w:rsidP="00E207D0">
      <w:pPr>
        <w:shd w:val="clear" w:color="auto" w:fill="FFFFFF"/>
        <w:spacing w:before="300" w:after="450"/>
        <w:ind w:left="450" w:right="450"/>
        <w:jc w:val="center"/>
        <w:rPr>
          <w:rFonts w:eastAsia="Times New Roman" w:cs="Times New Roman"/>
          <w:color w:val="333333"/>
          <w:szCs w:val="24"/>
          <w:lang w:eastAsia="ru-RU"/>
        </w:rPr>
      </w:pPr>
      <w:bookmarkStart w:id="7" w:name="n9"/>
      <w:bookmarkEnd w:id="7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ТИПОВА ПРОГРАМА</w:t>
      </w:r>
      <w:r w:rsidRPr="00E207D0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  <w:t>дітьми</w:t>
      </w:r>
      <w:proofErr w:type="spellEnd"/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" w:name="n10"/>
      <w:bookmarkEnd w:id="8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Ця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далі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-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спрямована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функціонування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ефективної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системи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будь-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виду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створення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закладах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освіти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культури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охорони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здоров’я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захисту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фізичної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культури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і спорту,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оздоровлення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відпочинку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молодіжних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центрах,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дитячих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молодіжних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громадських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об’єднаннях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громадських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об’єднаннях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є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молодіжної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контактують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далі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-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середовища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вільного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запровадження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системи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підозру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lastRenderedPageBreak/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також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оперативного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розгляду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реагування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них.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9" w:name="n11"/>
      <w:bookmarkEnd w:id="9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2.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є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обов’язковою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час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розроблення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Положення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протидію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0" w:name="n12"/>
      <w:bookmarkEnd w:id="10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повинні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бути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ознайомлені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Положенням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протидію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інформацією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захист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усіх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форм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зокрема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домашнього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експлуатації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булінгу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найгірших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форм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дитячої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проявів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1" w:name="n13"/>
      <w:bookmarkEnd w:id="11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3.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терміни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вживаються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значенні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наведеному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"https://zakon.rada.gov.ua/laws/show/2947-14" \t "_blank"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>Сімейному</w:t>
      </w:r>
      <w:proofErr w:type="spellEnd"/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>кодексі</w:t>
      </w:r>
      <w:proofErr w:type="spellEnd"/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>України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Законах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України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hyperlink r:id="rId4" w:tgtFrame="_blank" w:history="1"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“Про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охорону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дитинства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”</w:t>
        </w:r>
      </w:hyperlink>
      <w:r w:rsidRPr="00E207D0">
        <w:rPr>
          <w:rFonts w:eastAsia="Times New Roman" w:cs="Times New Roman"/>
          <w:color w:val="333333"/>
          <w:szCs w:val="24"/>
          <w:lang w:eastAsia="ru-RU"/>
        </w:rPr>
        <w:t>, </w:t>
      </w:r>
      <w:hyperlink r:id="rId5" w:tgtFrame="_blank" w:history="1"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“Про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запобігання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та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протидію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домашньому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насильству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”</w:t>
        </w:r>
      </w:hyperlink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нормативно-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правових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актах.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2" w:name="n14"/>
      <w:bookmarkEnd w:id="12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4.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Завданнями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є: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3" w:name="n15"/>
      <w:bookmarkEnd w:id="13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запровадження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порядку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спрямованих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4" w:name="n16"/>
      <w:bookmarkEnd w:id="14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відповідального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ставлення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недопущення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5" w:name="n17"/>
      <w:bookmarkEnd w:id="15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поширення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культури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нульової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толерантності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всіх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сферах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діяльності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6" w:name="n18"/>
      <w:bookmarkEnd w:id="16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оперативного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органу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Національної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служби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Start"/>
      <w:r w:rsidRPr="00E207D0">
        <w:rPr>
          <w:rFonts w:eastAsia="Times New Roman" w:cs="Times New Roman"/>
          <w:color w:val="333333"/>
          <w:szCs w:val="24"/>
          <w:lang w:eastAsia="ru-RU"/>
        </w:rPr>
        <w:t>у справах</w:t>
      </w:r>
      <w:proofErr w:type="gram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вчинення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7" w:name="n19"/>
      <w:bookmarkEnd w:id="17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5. З метою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повинно бути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впровадження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таких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основних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8" w:name="n20"/>
      <w:bookmarkEnd w:id="18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1)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превентивні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заходи: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19" w:name="n21"/>
      <w:bookmarkEnd w:id="19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Положення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протидію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0" w:name="n22"/>
      <w:bookmarkEnd w:id="20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"https://zakon.rada.gov.ua/laws/show/658-2025-%D0%BF" \l "n93"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форми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первинного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підозру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випадок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згідно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додатком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1;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1" w:name="n23"/>
      <w:bookmarkEnd w:id="2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"https://zakon.rada.gov.ua/laws/show/658-2025-%D0%BF" \l "n95"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форми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реєстрації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внутрішнього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інциденту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(журналу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безпеки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)</w: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згідно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додатком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2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обліку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внутрішніх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інцидентів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спосіб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рішенням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2" w:name="n24"/>
      <w:bookmarkEnd w:id="22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"https://zakon.rada.gov.ua/laws/show/658-2025-%D0%BF" \l "n97"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форми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анкети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анонімного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опитування</w:t>
      </w:r>
      <w:proofErr w:type="spellEnd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006600"/>
          <w:szCs w:val="24"/>
          <w:u w:val="single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>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згідно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додатком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3;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3" w:name="n25"/>
      <w:bookmarkEnd w:id="23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питань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4" w:name="n26"/>
      <w:bookmarkEnd w:id="24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оцінювання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діяльності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вжиття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необхідних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усунення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мінімізації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5" w:name="n27"/>
      <w:bookmarkEnd w:id="25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lastRenderedPageBreak/>
        <w:t>врахування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час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прийому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Start"/>
      <w:r w:rsidRPr="00E207D0">
        <w:rPr>
          <w:rFonts w:eastAsia="Times New Roman" w:cs="Times New Roman"/>
          <w:color w:val="333333"/>
          <w:szCs w:val="24"/>
          <w:lang w:eastAsia="ru-RU"/>
        </w:rPr>
        <w:t>на роботу</w:t>
      </w:r>
      <w:proofErr w:type="gram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6" w:name="n28"/>
      <w:bookmarkEnd w:id="26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2) заходи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реагування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7" w:name="n29"/>
      <w:bookmarkEnd w:id="27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організація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доступних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безпечних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способів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8" w:name="n30"/>
      <w:bookmarkEnd w:id="28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оперативне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реагування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 результатами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розгляду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заяв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скарг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далі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-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29" w:name="n31"/>
      <w:bookmarkEnd w:id="29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3) заходи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навчання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підвищення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обізнаності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0" w:name="n32"/>
      <w:bookmarkEnd w:id="30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організація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тренінгів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навчальних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фахівців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контактують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1" w:name="n33"/>
      <w:bookmarkEnd w:id="3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організація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інформаційних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сесій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пояснення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способів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захисту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контактів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звернення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2" w:name="n34"/>
      <w:bookmarkEnd w:id="32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залучення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батьківських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зборів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розповсюдження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інформаційних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матеріалів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3" w:name="n35"/>
      <w:bookmarkEnd w:id="33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4) заходи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моніторингу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оцінки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виконання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4" w:name="n36"/>
      <w:bookmarkEnd w:id="34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регулярні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самоперевірки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оцінка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ефективності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проблемних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аспектів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5" w:name="n37"/>
      <w:bookmarkEnd w:id="35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збір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зворотного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зв’язку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анкетування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, персоналу);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6" w:name="n38"/>
      <w:bookmarkEnd w:id="36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аналіз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інцидентів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вивчення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повторенню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7" w:name="n39"/>
      <w:bookmarkEnd w:id="37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5) заходи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розміщення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доступних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місцях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інформаційних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матеріалів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плакатів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брошур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контактами служб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допомоги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контактних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номерів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телефонів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анонімного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звернення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8" w:name="n40"/>
      <w:bookmarkEnd w:id="38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6.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Керівник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39" w:name="n41"/>
      <w:bookmarkEnd w:id="39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Положення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протидію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урахуванням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є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відповідальним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його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реалізацію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його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оприлюднення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ознайомлення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ним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своїх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здійснює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контроль за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виконанням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обов’язково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визначаються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виконання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адміністрація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волонтери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залучені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фахівці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контактують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), до кого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застосовується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Типова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вимоги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політики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найму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пов’язані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політикою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перевірка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кандидатів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наявність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судимостей,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рекомендації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вимоги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навчання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персоналу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обов’язкові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навчання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питань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захисту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0" w:name="n42"/>
      <w:bookmarkEnd w:id="40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здійснення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ознайомлення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фахівців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контактують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Положенням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протидію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Start"/>
      <w:r w:rsidRPr="00E207D0">
        <w:rPr>
          <w:rFonts w:eastAsia="Times New Roman" w:cs="Times New Roman"/>
          <w:color w:val="333333"/>
          <w:szCs w:val="24"/>
          <w:lang w:eastAsia="ru-RU"/>
        </w:rPr>
        <w:t>до початку</w:t>
      </w:r>
      <w:proofErr w:type="gram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але у строк,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не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перевищує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п’яти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робочих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днів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дня початку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1" w:name="n43"/>
      <w:bookmarkEnd w:id="4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розглядає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усні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письмові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протягом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однієї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доби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дня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надходження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функціонування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механізму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подання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2" w:name="n44"/>
      <w:bookmarkEnd w:id="42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lastRenderedPageBreak/>
        <w:t>невідкладно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повідомляє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органу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Національної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службі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Start"/>
      <w:r w:rsidRPr="00E207D0">
        <w:rPr>
          <w:rFonts w:eastAsia="Times New Roman" w:cs="Times New Roman"/>
          <w:color w:val="333333"/>
          <w:szCs w:val="24"/>
          <w:lang w:eastAsia="ru-RU"/>
        </w:rPr>
        <w:t>у справах</w:t>
      </w:r>
      <w:proofErr w:type="gram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3" w:name="n45"/>
      <w:bookmarkEnd w:id="43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сприяє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проходженню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особами,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вчинили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стали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свідками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постраждали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програми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таких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осіб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4" w:name="n46"/>
      <w:bookmarkEnd w:id="44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навчань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тренінгів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профілактичних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питань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5" w:name="n47"/>
      <w:bookmarkEnd w:id="45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взаємодіє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службами </w:t>
      </w:r>
      <w:proofErr w:type="gramStart"/>
      <w:r w:rsidRPr="00E207D0">
        <w:rPr>
          <w:rFonts w:eastAsia="Times New Roman" w:cs="Times New Roman"/>
          <w:color w:val="333333"/>
          <w:szCs w:val="24"/>
          <w:lang w:eastAsia="ru-RU"/>
        </w:rPr>
        <w:t>у справах</w:t>
      </w:r>
      <w:proofErr w:type="gram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центрами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служб, закладами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освіти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охорони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здоров’я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уповноваженими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органами для оперативного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реагування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6" w:name="n48"/>
      <w:bookmarkEnd w:id="46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7.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зобов’язані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7" w:name="n49"/>
      <w:bookmarkEnd w:id="47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вжити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невідкладних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припинення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8" w:name="n50"/>
      <w:bookmarkEnd w:id="48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надати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потреби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домедичну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допомогу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викликати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бригаду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екстреної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швидкої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медичної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допомоги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звернутися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органу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Національної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49" w:name="n51"/>
      <w:bookmarkEnd w:id="49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повідомити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керівнику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одному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представникам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яка вчинила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яка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постраждала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0" w:name="n52"/>
      <w:bookmarkEnd w:id="50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8.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повинен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забезпечити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функціонування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механізму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подання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передбачатиме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1" w:name="n53"/>
      <w:bookmarkEnd w:id="5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обов’язок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повідомити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наданням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шляхи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2" w:name="n54"/>
      <w:bookmarkEnd w:id="52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функціонування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різних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способів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отримання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можливі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телефонний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зв’язок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електронний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лист,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скринька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паперових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тощо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зокрема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анонімно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бажанням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особи, яка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залишила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3" w:name="n55"/>
      <w:bookmarkEnd w:id="53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потреби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керівник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визначати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відповідальну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особу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здійснення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яка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реєструватиме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надійшло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журналі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обліку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паперовій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та/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електронній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формі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забезпечуватиме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його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підготовку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розгляду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4" w:name="n56"/>
      <w:bookmarkEnd w:id="54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Керівник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розглядає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протягом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однієї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доби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дня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його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надходження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5" w:name="n57"/>
      <w:bookmarkEnd w:id="55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керівник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невідкладно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строк,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не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перевищує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однієї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доби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повідомляє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це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батькам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представникам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крім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коли батьки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є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кривдниками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письмово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повідомляє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органу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Національної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службі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справах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також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вживає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 </w:t>
      </w:r>
      <w:hyperlink r:id="rId6" w:anchor="n13" w:tgtFrame="_blank" w:history="1"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Порядку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забезпечення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соціального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захисту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дітей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,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які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lastRenderedPageBreak/>
          <w:t>перебувають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у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складних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життєвих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обставинах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, у тому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числі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дітей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,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які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постраждали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від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жорстокого</w:t>
        </w:r>
        <w:proofErr w:type="spellEnd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 xml:space="preserve"> </w:t>
        </w:r>
        <w:proofErr w:type="spellStart"/>
        <w:r w:rsidRPr="00E207D0">
          <w:rPr>
            <w:rFonts w:eastAsia="Times New Roman" w:cs="Times New Roman"/>
            <w:color w:val="000099"/>
            <w:szCs w:val="24"/>
            <w:u w:val="single"/>
            <w:lang w:eastAsia="ru-RU"/>
          </w:rPr>
          <w:t>поводження</w:t>
        </w:r>
        <w:proofErr w:type="spellEnd"/>
      </w:hyperlink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затвердженого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постановою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Кабінету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Міністрів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України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1 червня 2020 р. № 585 “Про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захисту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перебувають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складних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життєвих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обставинах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”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Офіційний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вісник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України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, 2020 р., № 57, ст. 1779).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6" w:name="n58"/>
      <w:bookmarkEnd w:id="56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9.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 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"https://zakon.rada.gov.ua/laws/show/2402-14" \l "n97" \t "_blank"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>статті</w:t>
      </w:r>
      <w:proofErr w:type="spellEnd"/>
      <w:r w:rsidRPr="00E207D0">
        <w:rPr>
          <w:rFonts w:eastAsia="Times New Roman" w:cs="Times New Roman"/>
          <w:color w:val="000099"/>
          <w:szCs w:val="24"/>
          <w:u w:val="single"/>
          <w:lang w:eastAsia="ru-RU"/>
        </w:rPr>
        <w:t xml:space="preserve"> 10</w: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 Закону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України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“Про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охорону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”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забороняється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працювати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контакті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особам,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внесено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Єдиного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реєстру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осіб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засуджених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злочини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статевої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свободи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статевої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недоторканості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малолітньої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особи.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7" w:name="n59"/>
      <w:bookmarkEnd w:id="57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час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працевлаштування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осіб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матимуть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безпосередній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опосередкований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контакт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бути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опитування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яке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включати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запитання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ситуаційного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характеру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з метою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можливої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схильності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особи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агресії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насильницької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поведінки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8" w:name="n60"/>
      <w:bookmarkEnd w:id="58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10.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повинні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бути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розроблені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та/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поширені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інформаційні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матеріали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питань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шляхом: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59" w:name="n61"/>
      <w:bookmarkEnd w:id="59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розміщення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інформаційних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стендах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приміщенні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розповсюдження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серед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формі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буклетів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листівок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0" w:name="n62"/>
      <w:bookmarkEnd w:id="60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надсилання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через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батьківські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учнівські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групи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месенджерах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розміщення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офіційному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веб-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сайті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його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сторінках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мережах;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1" w:name="n63"/>
      <w:bookmarkEnd w:id="6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тематичних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семінарів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2" w:name="n64"/>
      <w:bookmarkEnd w:id="62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11.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питань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далі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-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),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передбачає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напрями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(теми):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3" w:name="n65"/>
      <w:bookmarkEnd w:id="63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розпізнавання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фізичного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психологічного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економічного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сексуального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4" w:name="n66"/>
      <w:bookmarkEnd w:id="64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методи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профілактики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булінгу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серед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5" w:name="n67"/>
      <w:bookmarkEnd w:id="65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використання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ненасильницьких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методів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спілкування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управління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конфліктами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6" w:name="n68"/>
      <w:bookmarkEnd w:id="66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першої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психологічної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допомоги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постраждали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7" w:name="n69"/>
      <w:bookmarkEnd w:id="67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порядок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випадків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підозри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наявності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8" w:name="n70"/>
      <w:bookmarkEnd w:id="68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дотримання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правових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норм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захисту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69" w:name="n71"/>
      <w:bookmarkEnd w:id="69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алгоритм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взаємодії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уповноваженими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Національної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службою </w:t>
      </w:r>
      <w:proofErr w:type="gramStart"/>
      <w:r w:rsidRPr="00E207D0">
        <w:rPr>
          <w:rFonts w:eastAsia="Times New Roman" w:cs="Times New Roman"/>
          <w:color w:val="333333"/>
          <w:szCs w:val="24"/>
          <w:lang w:eastAsia="ru-RU"/>
        </w:rPr>
        <w:t>у справах</w:t>
      </w:r>
      <w:proofErr w:type="gram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фактів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0" w:name="n72"/>
      <w:bookmarkEnd w:id="70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здійснюється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шляхом: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1" w:name="n73"/>
      <w:bookmarkEnd w:id="7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щорічних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інформаційних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кампаній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тематичних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тижнів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і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конкурсів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приурочених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питанням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2" w:name="n74"/>
      <w:bookmarkEnd w:id="72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інтерактивних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тренінгів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розвитку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емоційного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інтелекту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толерантності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ненасильницького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спілкування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3" w:name="n75"/>
      <w:bookmarkEnd w:id="73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lastRenderedPageBreak/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ігор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рольових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моделюють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реальні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ситуації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допомагають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дізнатися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способи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захисту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порушених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4" w:name="n76"/>
      <w:bookmarkEnd w:id="74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впровадження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занять за типом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діяльності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питань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безпечної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поведінки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прав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медіації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5" w:name="n77"/>
      <w:bookmarkEnd w:id="75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співпраці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психологами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соціальними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групових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індивідуальних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занять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6" w:name="n78"/>
      <w:bookmarkEnd w:id="76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організації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зустрічей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фахівцями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можуть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поділитися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досвідом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і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порадами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органу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Національної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юристи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);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7" w:name="n79"/>
      <w:bookmarkEnd w:id="77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використання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мультимедійних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матеріалів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відеороликів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презентацій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інтерактивних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платформ)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цікавій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доступній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формі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неприпустимості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ознайомлення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формами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порад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дитячому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середовищі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процедури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передбаченої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алгоритму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способів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механізмів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отримання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допомоги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можливих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наслідків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особи, яка вчинила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8" w:name="n80"/>
      <w:bookmarkEnd w:id="78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проведення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батьків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законних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можуть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залучатися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експерти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фахівці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зокрема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місцевого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самоврядування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структурних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місцевих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державних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адміністрацій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служб у справах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підрозділів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Національної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поліції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надавачів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послуг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закладів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вищої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освіти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також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психологи,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соціальні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педагоги,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фахівці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галузі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права,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представники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громадських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об’єднань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іноземних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неурядових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організацій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79" w:name="n81"/>
      <w:bookmarkEnd w:id="79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12. З метою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керівник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поведінки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яка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потенційно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призводити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0" w:name="n82"/>
      <w:bookmarkEnd w:id="80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Недопустимою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вважається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поведінка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призводити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порушення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повагу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особистості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гідне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ставлення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1" w:name="n83"/>
      <w:bookmarkEnd w:id="81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Індикаторами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можуть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вказувати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потенційні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спричинення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є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використання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тону голосу,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сприйматися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як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залякування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образа,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використання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принизливих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коментарів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стосовно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присутності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застосування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покарань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також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індикатори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2" w:name="n84"/>
      <w:bookmarkEnd w:id="82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13. З метою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працівники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повинні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не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допускати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фізичного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контакту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він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не є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необхідним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змісту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діяльності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3" w:name="n85"/>
      <w:bookmarkEnd w:id="83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разі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коли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передбачається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фізичний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контакт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є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необхідним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відповідно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змісту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такий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контакт проводиться 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присутності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не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менше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однієї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повнолітньої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особи,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крім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виконавця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приміщенні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можливість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вільного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доступу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інших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осіб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не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має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перешкод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самостійного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виходу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4" w:name="n86"/>
      <w:bookmarkEnd w:id="84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14.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включає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регулярне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оцінювання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пов’язаних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жорстоким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вжиття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необхідних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їх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усунення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мінімізації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подальшого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lastRenderedPageBreak/>
        <w:t>моніторингу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контролю, 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також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перегляд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запроваджених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заходів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5" w:name="n87"/>
      <w:bookmarkEnd w:id="85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Якщо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 результатами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розгляду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: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6" w:name="n88"/>
      <w:bookmarkEnd w:id="86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аналізує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причини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умови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могли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сприяти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або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стати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підставою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порушення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7" w:name="n89"/>
      <w:bookmarkEnd w:id="87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не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інформація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викладена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в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повідомленні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аналізується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на предмет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наявності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дитиною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вживаються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заходи до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унеможливлення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настання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таких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8" w:name="n90"/>
      <w:bookmarkEnd w:id="88"/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Діяльність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виявлення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аналізу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ризиків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провадиться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із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залученням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сторін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зокрема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color w:val="333333"/>
          <w:szCs w:val="24"/>
          <w:lang w:eastAsia="ru-RU"/>
        </w:rPr>
      </w:pPr>
      <w:bookmarkStart w:id="89" w:name="n91"/>
      <w:bookmarkEnd w:id="89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15. Про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невиконання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неналежне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виконання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суб’єктом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роботи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молоддю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повноважень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жорстокому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поводженню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дітьми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може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бути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повідомлено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уповноваженій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особі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(координатору) в органах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виконавчої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влади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органах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місцевого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самоврядування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на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яких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покладено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функції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щодо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забезпечення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рівності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прав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можливостей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жінок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і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чоловіків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запобігання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та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протидії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насильству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за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ознакою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color w:val="333333"/>
          <w:szCs w:val="24"/>
          <w:lang w:eastAsia="ru-RU"/>
        </w:rPr>
        <w:t>статі</w:t>
      </w:r>
      <w:proofErr w:type="spellEnd"/>
      <w:r w:rsidRPr="00E207D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E207D0" w:rsidRPr="00E207D0" w:rsidRDefault="00E207D0" w:rsidP="00E207D0">
      <w:pPr>
        <w:rPr>
          <w:rFonts w:eastAsia="Times New Roman" w:cs="Times New Roman"/>
          <w:szCs w:val="24"/>
          <w:lang w:eastAsia="ru-RU"/>
        </w:rPr>
      </w:pPr>
      <w:r w:rsidRPr="00E207D0">
        <w:rPr>
          <w:rFonts w:eastAsia="Times New Roman" w:cs="Times New Roman"/>
          <w:szCs w:val="24"/>
          <w:lang w:eastAsia="ru-RU"/>
        </w:rPr>
        <w:pict>
          <v:rect id="_x0000_i1026" style="width:0;height:0" o:hrstd="t" o:hrnoshade="t" o:hr="t" fillcolor="black" stroked="f"/>
        </w:pict>
      </w:r>
    </w:p>
    <w:p w:rsidR="00E207D0" w:rsidRPr="00E207D0" w:rsidRDefault="00E207D0" w:rsidP="00E207D0">
      <w:pPr>
        <w:rPr>
          <w:rFonts w:eastAsia="Times New Roman" w:cs="Times New Roman"/>
          <w:szCs w:val="24"/>
          <w:lang w:eastAsia="ru-RU"/>
        </w:rPr>
      </w:pPr>
      <w:bookmarkStart w:id="90" w:name="n99"/>
      <w:bookmarkEnd w:id="90"/>
      <w:r w:rsidRPr="00E207D0">
        <w:rPr>
          <w:rFonts w:eastAsia="Times New Roman" w:cs="Times New Roman"/>
          <w:color w:val="333333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E207D0" w:rsidRPr="00E207D0" w:rsidTr="00E207D0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rPr>
                <w:rFonts w:eastAsia="Times New Roman" w:cs="Times New Roman"/>
                <w:szCs w:val="24"/>
                <w:lang w:eastAsia="ru-RU"/>
              </w:rPr>
            </w:pPr>
            <w:bookmarkStart w:id="91" w:name="n92"/>
            <w:bookmarkEnd w:id="91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Додаток</w:t>
            </w:r>
            <w:proofErr w:type="spellEnd"/>
            <w:r w:rsidRPr="00E207D0">
              <w:rPr>
                <w:rFonts w:eastAsia="Times New Roman" w:cs="Times New Roman"/>
                <w:szCs w:val="24"/>
                <w:lang w:eastAsia="ru-RU"/>
              </w:rPr>
              <w:t xml:space="preserve"> 1</w:t>
            </w:r>
            <w:r w:rsidRPr="00E207D0">
              <w:rPr>
                <w:rFonts w:eastAsia="Times New Roman" w:cs="Times New Roman"/>
                <w:szCs w:val="24"/>
                <w:lang w:eastAsia="ru-RU"/>
              </w:rPr>
              <w:br/>
              <w:t xml:space="preserve">до </w:t>
            </w: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Типової</w:t>
            </w:r>
            <w:proofErr w:type="spellEnd"/>
            <w:r w:rsidRPr="00E207D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програми</w:t>
            </w:r>
            <w:proofErr w:type="spellEnd"/>
          </w:p>
        </w:tc>
      </w:tr>
    </w:tbl>
    <w:bookmarkStart w:id="92" w:name="n93"/>
    <w:bookmarkEnd w:id="92"/>
    <w:p w:rsidR="00E207D0" w:rsidRPr="00E207D0" w:rsidRDefault="00E207D0" w:rsidP="00E207D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"https://zakon.rada.gov.ua/laws/file/text/126/f545640n100.docx"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b/>
          <w:bCs/>
          <w:color w:val="C00909"/>
          <w:sz w:val="28"/>
          <w:szCs w:val="28"/>
          <w:u w:val="single"/>
          <w:lang w:eastAsia="ru-RU"/>
        </w:rPr>
        <w:t>ТИПОВА ФОРМА</w: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первинного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повідомлення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підозру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випадок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насильства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щодо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дитини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E207D0" w:rsidRPr="00E207D0" w:rsidTr="00E207D0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rPr>
                <w:rFonts w:eastAsia="Times New Roman" w:cs="Times New Roman"/>
                <w:szCs w:val="24"/>
                <w:lang w:eastAsia="ru-RU"/>
              </w:rPr>
            </w:pPr>
            <w:bookmarkStart w:id="93" w:name="n94"/>
            <w:bookmarkEnd w:id="93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Додаток</w:t>
            </w:r>
            <w:proofErr w:type="spellEnd"/>
            <w:r w:rsidRPr="00E207D0">
              <w:rPr>
                <w:rFonts w:eastAsia="Times New Roman" w:cs="Times New Roman"/>
                <w:szCs w:val="24"/>
                <w:lang w:eastAsia="ru-RU"/>
              </w:rPr>
              <w:t xml:space="preserve"> 2</w:t>
            </w:r>
            <w:r w:rsidRPr="00E207D0">
              <w:rPr>
                <w:rFonts w:eastAsia="Times New Roman" w:cs="Times New Roman"/>
                <w:szCs w:val="24"/>
                <w:lang w:eastAsia="ru-RU"/>
              </w:rPr>
              <w:br/>
              <w:t xml:space="preserve">до </w:t>
            </w: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Типової</w:t>
            </w:r>
            <w:proofErr w:type="spellEnd"/>
            <w:r w:rsidRPr="00E207D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програми</w:t>
            </w:r>
            <w:proofErr w:type="spellEnd"/>
          </w:p>
        </w:tc>
      </w:tr>
    </w:tbl>
    <w:bookmarkStart w:id="94" w:name="n95"/>
    <w:bookmarkEnd w:id="94"/>
    <w:p w:rsidR="00E207D0" w:rsidRPr="00E207D0" w:rsidRDefault="00E207D0" w:rsidP="00E207D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"https://zakon.rada.gov.ua/laws/file/text/126/f545640n101.docx"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b/>
          <w:bCs/>
          <w:color w:val="C00909"/>
          <w:sz w:val="28"/>
          <w:szCs w:val="28"/>
          <w:u w:val="single"/>
          <w:lang w:eastAsia="ru-RU"/>
        </w:rPr>
        <w:t>ТИПОВА ФОРМА</w: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реєстрації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внутрішнього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інциденту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(журналу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безпеки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5000"/>
      </w:tblGrid>
      <w:tr w:rsidR="00E207D0" w:rsidRPr="00E207D0" w:rsidTr="00E207D0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rPr>
                <w:rFonts w:eastAsia="Times New Roman" w:cs="Times New Roman"/>
                <w:szCs w:val="24"/>
                <w:lang w:eastAsia="ru-RU"/>
              </w:rPr>
            </w:pPr>
            <w:bookmarkStart w:id="95" w:name="n96"/>
            <w:bookmarkEnd w:id="95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207D0" w:rsidRPr="00E207D0" w:rsidRDefault="00E207D0" w:rsidP="00E207D0">
            <w:pPr>
              <w:spacing w:before="150" w:after="15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Додаток</w:t>
            </w:r>
            <w:proofErr w:type="spellEnd"/>
            <w:r w:rsidRPr="00E207D0">
              <w:rPr>
                <w:rFonts w:eastAsia="Times New Roman" w:cs="Times New Roman"/>
                <w:szCs w:val="24"/>
                <w:lang w:eastAsia="ru-RU"/>
              </w:rPr>
              <w:t xml:space="preserve"> 3</w:t>
            </w:r>
            <w:r w:rsidRPr="00E207D0">
              <w:rPr>
                <w:rFonts w:eastAsia="Times New Roman" w:cs="Times New Roman"/>
                <w:szCs w:val="24"/>
                <w:lang w:eastAsia="ru-RU"/>
              </w:rPr>
              <w:br/>
              <w:t xml:space="preserve">до </w:t>
            </w: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Типової</w:t>
            </w:r>
            <w:proofErr w:type="spellEnd"/>
            <w:r w:rsidRPr="00E207D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E207D0">
              <w:rPr>
                <w:rFonts w:eastAsia="Times New Roman" w:cs="Times New Roman"/>
                <w:szCs w:val="24"/>
                <w:lang w:eastAsia="ru-RU"/>
              </w:rPr>
              <w:t>програми</w:t>
            </w:r>
            <w:proofErr w:type="spellEnd"/>
          </w:p>
        </w:tc>
      </w:tr>
    </w:tbl>
    <w:bookmarkStart w:id="96" w:name="n97"/>
    <w:bookmarkEnd w:id="96"/>
    <w:p w:rsidR="00E207D0" w:rsidRPr="00E207D0" w:rsidRDefault="00E207D0" w:rsidP="00E207D0">
      <w:pPr>
        <w:shd w:val="clear" w:color="auto" w:fill="FFFFFF"/>
        <w:spacing w:before="150" w:after="150"/>
        <w:ind w:left="450" w:right="450"/>
        <w:jc w:val="center"/>
        <w:rPr>
          <w:rFonts w:eastAsia="Times New Roman" w:cs="Times New Roman"/>
          <w:color w:val="333333"/>
          <w:szCs w:val="24"/>
          <w:lang w:eastAsia="ru-RU"/>
        </w:rPr>
      </w:pP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begin"/>
      </w:r>
      <w:r w:rsidRPr="00E207D0">
        <w:rPr>
          <w:rFonts w:eastAsia="Times New Roman" w:cs="Times New Roman"/>
          <w:color w:val="333333"/>
          <w:szCs w:val="24"/>
          <w:lang w:eastAsia="ru-RU"/>
        </w:rPr>
        <w:instrText xml:space="preserve"> HYPERLINK "https://zakon.rada.gov.ua/laws/file/text/126/f545640n102.docx" </w:instrTex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separate"/>
      </w:r>
      <w:r w:rsidRPr="00E207D0">
        <w:rPr>
          <w:rFonts w:eastAsia="Times New Roman" w:cs="Times New Roman"/>
          <w:b/>
          <w:bCs/>
          <w:color w:val="C00909"/>
          <w:sz w:val="28"/>
          <w:szCs w:val="28"/>
          <w:u w:val="single"/>
          <w:lang w:eastAsia="ru-RU"/>
        </w:rPr>
        <w:t>ТИПОВА АНКЕТА</w:t>
      </w:r>
      <w:r w:rsidRPr="00E207D0">
        <w:rPr>
          <w:rFonts w:eastAsia="Times New Roman" w:cs="Times New Roman"/>
          <w:color w:val="333333"/>
          <w:szCs w:val="24"/>
          <w:lang w:eastAsia="ru-RU"/>
        </w:rPr>
        <w:fldChar w:fldCharType="end"/>
      </w:r>
      <w:r w:rsidRPr="00E207D0"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анонімного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опитування</w:t>
      </w:r>
      <w:proofErr w:type="spellEnd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E207D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дітей</w:t>
      </w:r>
      <w:proofErr w:type="spellEnd"/>
    </w:p>
    <w:p w:rsidR="002B17FF" w:rsidRDefault="002B17FF">
      <w:bookmarkStart w:id="97" w:name="_GoBack"/>
      <w:bookmarkEnd w:id="97"/>
    </w:p>
    <w:sectPr w:rsidR="002B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D0"/>
    <w:rsid w:val="002B17FF"/>
    <w:rsid w:val="00E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54211-B0EB-4ABD-9401-28D7DA2A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5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85-2020-%D0%BF" TargetMode="External"/><Relationship Id="rId5" Type="http://schemas.openxmlformats.org/officeDocument/2006/relationships/hyperlink" Target="https://zakon.rada.gov.ua/laws/show/2229-19" TargetMode="External"/><Relationship Id="rId4" Type="http://schemas.openxmlformats.org/officeDocument/2006/relationships/hyperlink" Target="https://zakon.rada.gov.ua/laws/show/2402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2807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2025-09-29T06:23:00Z</dcterms:created>
  <dcterms:modified xsi:type="dcterms:W3CDTF">2025-09-29T06:24:00Z</dcterms:modified>
</cp:coreProperties>
</file>