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21" w:rsidRPr="00CD1D21" w:rsidRDefault="00CD1D21" w:rsidP="00CD1D21">
      <w:pPr>
        <w:spacing w:before="450" w:after="450" w:line="240" w:lineRule="auto"/>
        <w:ind w:left="450"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</w:pPr>
      <w:bookmarkStart w:id="0" w:name="_GoBack"/>
      <w:proofErr w:type="spellStart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Поняття</w:t>
      </w:r>
      <w:proofErr w:type="spellEnd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 про </w:t>
      </w:r>
      <w:proofErr w:type="spellStart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виробничий</w:t>
      </w:r>
      <w:proofErr w:type="spellEnd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технологічний</w:t>
      </w:r>
      <w:proofErr w:type="spellEnd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процеси</w:t>
      </w:r>
      <w:proofErr w:type="spellEnd"/>
    </w:p>
    <w:bookmarkEnd w:id="0"/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Тема 1.1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Виробничий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технологічний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процеси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Типи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виробництва</w:t>
      </w:r>
      <w:proofErr w:type="spellEnd"/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будь-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якого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є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деталі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Деталь 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елементарна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частина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яка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найчастіше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виготовляється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цільного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шматка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матер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іалу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без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допомоги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Сукупність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деталей,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з’єднаних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допомогою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отримала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назву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“</w:t>
      </w:r>
      <w:proofErr w:type="spellStart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складальна</w:t>
      </w:r>
      <w:proofErr w:type="spellEnd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одиниця</w:t>
      </w:r>
      <w:proofErr w:type="spellEnd"/>
      <w:proofErr w:type="gramStart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”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(</w:t>
      </w:r>
      <w:proofErr w:type="spellStart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вузол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).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деталей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збираються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Для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електричних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апаратів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властива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наступна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класифікація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деталей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конструктивно-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ічними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ознаками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: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корпусні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деталі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(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резервуари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баки,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каркаси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оболонки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покришки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.);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деталі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ізноманітних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механізмів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(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пневматичних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гідравлічних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електромагнітних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.);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струмопровідні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деталі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(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шини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контакти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гнучкі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сполучення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котушки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.);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електроізоляційні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магнітопроводи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магнітні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елементи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друковані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платівки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виготовити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допомогою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виробничого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Виробничий</w:t>
      </w:r>
      <w:proofErr w:type="spellEnd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b/>
          <w:bCs/>
          <w:i/>
          <w:iCs/>
          <w:color w:val="3D3D3D"/>
          <w:sz w:val="20"/>
          <w:szCs w:val="20"/>
          <w:lang w:eastAsia="ru-RU"/>
        </w:rPr>
        <w:t> 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виготовлення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деталей,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складальних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починаючи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від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отримання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сировини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матер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іалів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напівфабрикатів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закінчуючи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доставкою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до складу готового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перед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відправкою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споживачу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Виробничий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ізноманітних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допоміжних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Технологічний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 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зміни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форми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властивостей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розмі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взаємного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розташування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деталей в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ньому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Існує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велика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кількість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наприклад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: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лиття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штампування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токарної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обробки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монтажу,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термообробки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нанесення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покриттів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21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Технологічний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таку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структуру: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операція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gram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-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частина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яка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виконується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на одному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робочому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місці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одним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працівником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бригадою,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причому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робоче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місце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забезпечене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одним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декількома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видами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яке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діє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одночасно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виконуватись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один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установів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цьому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виріб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змінювати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змінювати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свою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позицію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lastRenderedPageBreak/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позиція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-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кожне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фіксоване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положення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закріпленого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відносно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установ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-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частина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коли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обробці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змінюється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його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позиція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тобто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виконуватись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один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установі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перехід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-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частина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яка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виконується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незмінному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режимі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роботи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коли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обробляється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одна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поверхонь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допомогою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одного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декількох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одночасно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діючих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причому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переході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змінюються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прохід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-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частина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переходу,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коли за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допомогою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знімається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один шар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матер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іалу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;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-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прийом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-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сукупність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трудових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рухі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робітника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для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переходу.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Типи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</w:t>
      </w:r>
      <w:proofErr w:type="spellEnd"/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Розрізняють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основні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види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два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проміжних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Основні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 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одиничне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серійне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масове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Проміжні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 </w:t>
      </w: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-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др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ібносерійне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багатосерійне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Одиничне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характеризується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тим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що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які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випускаються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велику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номенклатуру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невеликій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кількості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кожного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найменувань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Виготовлення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практично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повторюється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працівники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високу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кваліфікацію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широку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спеціалізацію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працюють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універсальному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використанням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універсального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площі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в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часу невеликий, 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вартість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велика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21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серійному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випускаються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партіями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серіями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регулярною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повторюваністю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Кількість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партіях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складає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сотні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тисячі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штук, номенклатура велика, але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обмежена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серійному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бажано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налагодити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поточне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Цьому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допомагає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застосування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групових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методів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обробки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тільки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універсальне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а й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спеціальне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спеціалізоване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З'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являється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достатньо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велика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кількість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приладів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Використовуються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тільки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універсальні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але й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спеціальні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площі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в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часу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середній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вартість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також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середня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Працівники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нижчу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кваліфікацію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ніж</w:t>
      </w:r>
      <w:proofErr w:type="spellEnd"/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одиничному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опановують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певну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спеціалізацію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CD1D21" w:rsidRPr="00CD1D21" w:rsidRDefault="00CD1D21" w:rsidP="00CD1D21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proofErr w:type="spellStart"/>
      <w:proofErr w:type="gram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Др</w:t>
      </w:r>
      <w:proofErr w:type="gram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ібносерійне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ближче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одиничного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але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дає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можливість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виготовляти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придбати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спеціальне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й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спеціалізоване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також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інструмент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 А 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багатосерійне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ближче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масового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</w:p>
    <w:p w:rsidR="00A555BF" w:rsidRPr="00826A63" w:rsidRDefault="00CD1D21" w:rsidP="00826A6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0"/>
          <w:szCs w:val="20"/>
          <w:lang w:val="uk-UA" w:eastAsia="ru-RU"/>
        </w:rPr>
      </w:pP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Масове</w:t>
      </w:r>
      <w:proofErr w:type="spellEnd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b/>
          <w:bCs/>
          <w:color w:val="3D3D3D"/>
          <w:sz w:val="20"/>
          <w:szCs w:val="20"/>
          <w:lang w:eastAsia="ru-RU"/>
        </w:rPr>
        <w:t>виробництво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 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характеризується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високим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ступенем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механізації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автоматизації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масовому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серед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обов'язкових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вимог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є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налагодження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поточного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Технологічні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процеси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диференційовані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тільки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а й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на переходи, і за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кожним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робочим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місцем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може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бути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закріплений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один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переходів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одна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операція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Обладнання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використовується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спеціальне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lastRenderedPageBreak/>
        <w:t>спеціалізоване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Оснащення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багато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і,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навіть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по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декілька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на одну деталь.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випускаються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малою номенклатурою,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безперервно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в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велик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ій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кількості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(десятки,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сотні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тисяч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). При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масовому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виробництві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звичайно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використовуються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конвеєрні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чи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потокові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л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інії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Працівники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мають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низьку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кваліфікацію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вузьку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спеціалізацію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.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Випуск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з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площі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і в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одиницю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часу </w:t>
      </w:r>
      <w:proofErr w:type="gram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великий</w:t>
      </w:r>
      <w:proofErr w:type="gram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, а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вартість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виробів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proofErr w:type="spellStart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низька</w:t>
      </w:r>
      <w:proofErr w:type="spellEnd"/>
      <w:r w:rsidRPr="00CD1D21">
        <w:rPr>
          <w:rFonts w:ascii="Arial" w:eastAsia="Times New Roman" w:hAnsi="Arial" w:cs="Arial"/>
          <w:color w:val="3D3D3D"/>
          <w:sz w:val="20"/>
          <w:szCs w:val="20"/>
          <w:lang w:eastAsia="ru-RU"/>
        </w:rPr>
        <w:t>.</w:t>
      </w:r>
      <w:r w:rsidR="00826A63">
        <w:rPr>
          <w:rFonts w:ascii="Arial" w:eastAsia="Times New Roman" w:hAnsi="Arial" w:cs="Arial"/>
          <w:color w:val="3D3D3D"/>
          <w:sz w:val="20"/>
          <w:szCs w:val="20"/>
          <w:lang w:val="uk-UA" w:eastAsia="ru-RU"/>
        </w:rPr>
        <w:br/>
      </w:r>
      <w:r w:rsidR="00826A63">
        <w:rPr>
          <w:rFonts w:ascii="Arial" w:eastAsia="Times New Roman" w:hAnsi="Arial" w:cs="Arial"/>
          <w:color w:val="3D3D3D"/>
          <w:sz w:val="20"/>
          <w:szCs w:val="20"/>
          <w:lang w:val="uk-UA" w:eastAsia="ru-RU"/>
        </w:rPr>
        <w:br/>
        <w:t>Додатково:</w:t>
      </w:r>
      <w:r w:rsidR="00826A63" w:rsidRPr="00826A63">
        <w:t xml:space="preserve"> </w:t>
      </w:r>
      <w:hyperlink r:id="rId5" w:history="1">
        <w:r w:rsidR="00826A63" w:rsidRPr="00985B2C">
          <w:rPr>
            <w:rStyle w:val="a3"/>
            <w:rFonts w:ascii="Arial" w:eastAsia="Times New Roman" w:hAnsi="Arial" w:cs="Arial"/>
            <w:sz w:val="20"/>
            <w:szCs w:val="20"/>
            <w:lang w:val="uk-UA" w:eastAsia="ru-RU"/>
          </w:rPr>
          <w:t>http://bcpl.pto.org.ua/index.php/dopomoga/itemlist/category/332-tema-8-zagalni-vidomosti-pro-tekhnologichnij-protses-obrobki-detalej</w:t>
        </w:r>
      </w:hyperlink>
      <w:r w:rsidR="00826A63">
        <w:rPr>
          <w:rFonts w:ascii="Arial" w:eastAsia="Times New Roman" w:hAnsi="Arial" w:cs="Arial"/>
          <w:color w:val="3D3D3D"/>
          <w:sz w:val="20"/>
          <w:szCs w:val="20"/>
          <w:lang w:val="uk-UA" w:eastAsia="ru-RU"/>
        </w:rPr>
        <w:t xml:space="preserve"> </w:t>
      </w:r>
    </w:p>
    <w:sectPr w:rsidR="00A555BF" w:rsidRPr="00826A63" w:rsidSect="00CD1D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1"/>
    <w:rsid w:val="003C0335"/>
    <w:rsid w:val="00826A63"/>
    <w:rsid w:val="00923986"/>
    <w:rsid w:val="00C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cpl.pto.org.ua/index.php/dopomoga/itemlist/category/332-tema-8-zagalni-vidomosti-pro-tekhnologichnij-protses-obrobki-deta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2021-03-03T10:26:00Z</dcterms:created>
  <dcterms:modified xsi:type="dcterms:W3CDTF">2021-03-03T10:42:00Z</dcterms:modified>
</cp:coreProperties>
</file>