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Нафта і дистиляти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(Бензин А-95, дизельне паливо) 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розміру бюджетного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>ступенів №2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словником:</w:t>
      </w:r>
      <w:r w:rsidRPr="0021733F">
        <w:rPr>
          <w:rFonts w:ascii="Calibri" w:eastAsia="Times New Roman" w:hAnsi="Calibri" w:cs="Calibri"/>
          <w:sz w:val="20"/>
          <w:szCs w:val="20"/>
          <w:lang w:eastAsia="uk-UA"/>
        </w:rPr>
        <w:t> </w:t>
      </w:r>
      <w:r w:rsidR="008C71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Бензин А-9</w:t>
      </w:r>
      <w:r w:rsidR="008C71A2" w:rsidRPr="008C71A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5</w:t>
      </w:r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, </w:t>
      </w:r>
      <w:proofErr w:type="spellStart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дизельне</w:t>
      </w:r>
      <w:proofErr w:type="spellEnd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</w:t>
      </w:r>
      <w:proofErr w:type="spellStart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паливо</w:t>
      </w:r>
      <w:proofErr w:type="spellEnd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021:2015 «09130000-9» Нафта і дистиляти)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0F6DF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20</w:t>
      </w:r>
      <w:r w:rsidR="008C71A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січня 2026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відкриті торги з особливостями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8C71A2" w:rsidRPr="000F6DF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6</w:t>
      </w:r>
      <w:r w:rsidR="000F6DF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-01-20-005915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21733F" w:rsidRPr="008C71A2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0F6DF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 Бензин А-95 – 3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000 л, Дизельне паливо – </w:t>
      </w:r>
      <w:r w:rsidR="008C71A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12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</w:t>
      </w:r>
      <w:r w:rsidR="008C71A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00 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0F6DFE">
        <w:rPr>
          <w:rFonts w:ascii="Times New Roman" w:eastAsia="Times New Roman" w:hAnsi="Times New Roman" w:cs="Times New Roman"/>
          <w:sz w:val="20"/>
          <w:szCs w:val="20"/>
          <w:lang w:eastAsia="uk-UA"/>
        </w:rPr>
        <w:t> 875520</w:t>
      </w:r>
      <w:bookmarkStart w:id="0" w:name="_GoBack"/>
      <w:bookmarkEnd w:id="0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з урахуванням офіційних статистичних даних Мінфіну станом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</w:t>
      </w:r>
      <w:r w:rsidR="008C71A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</w:t>
      </w:r>
      <w:r w:rsidR="008C71A2" w:rsidRPr="008C71A2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комерційної пропозиції</w:t>
      </w:r>
      <w:r w:rsidR="008C71A2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 xml:space="preserve"> постачальника, 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8C71A2">
        <w:rPr>
          <w:rFonts w:ascii="Times New Roman" w:eastAsia="Times New Roman" w:hAnsi="Times New Roman" w:cs="Times New Roman"/>
          <w:sz w:val="20"/>
          <w:szCs w:val="20"/>
          <w:lang w:eastAsia="uk-UA"/>
        </w:rPr>
        <w:t>рахунок потреби на пальне у 2026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тичних видатків на пальне у 202</w:t>
      </w:r>
      <w:r w:rsidR="008C71A2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 на дані транспортні засоби;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паливі на обслуговування автотранспортних засобів (шкільних автобусів для підвозу учнів) </w:t>
      </w:r>
      <w:r w:rsidR="00F5081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згідно затверджених маршрутів 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та роботи техніки (генераторів, </w:t>
      </w:r>
      <w:proofErr w:type="spellStart"/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бензокос</w:t>
      </w:r>
      <w:proofErr w:type="spellEnd"/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, бензопил</w:t>
      </w:r>
      <w:r w:rsidR="00F50814" w:rsidRPr="00F5081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тощо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)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8C71A2">
        <w:rPr>
          <w:rFonts w:ascii="Times New Roman" w:eastAsia="Times New Roman" w:hAnsi="Times New Roman" w:cs="Times New Roman"/>
          <w:sz w:val="20"/>
          <w:szCs w:val="20"/>
          <w:lang w:eastAsia="uk-UA"/>
        </w:rPr>
        <w:t>по31 грудня 2026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21733F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Товар при поставці (передачі) повинен </w:t>
      </w:r>
      <w:proofErr w:type="spellStart"/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суповоджуватись</w:t>
      </w:r>
      <w:proofErr w:type="spellEnd"/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документами, що підтверджують якість та безпеку, а саме: копіями сертифікатів відповідності та/або декларації відповідності, та/або копії паспортів якості або іншого документального підтвердження якості та безпеки товару (у передбачених законодавством випадках).</w:t>
      </w:r>
    </w:p>
    <w:p w:rsidR="00632E8F" w:rsidRPr="0021733F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Постачальник повинен забезпечити на АЗС цілодобову заправку автомобілів Покупця.</w:t>
      </w:r>
    </w:p>
    <w:p w:rsid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D37933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F6DFE"/>
    <w:rsid w:val="0021733F"/>
    <w:rsid w:val="0037224B"/>
    <w:rsid w:val="00632E8F"/>
    <w:rsid w:val="007D4323"/>
    <w:rsid w:val="008C71A2"/>
    <w:rsid w:val="00AB0B87"/>
    <w:rsid w:val="00B76063"/>
    <w:rsid w:val="00D37933"/>
    <w:rsid w:val="00F331ED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2026-01-12T12:40:00Z</cp:lastPrinted>
  <dcterms:created xsi:type="dcterms:W3CDTF">2025-01-23T12:42:00Z</dcterms:created>
  <dcterms:modified xsi:type="dcterms:W3CDTF">2026-01-20T10:36:00Z</dcterms:modified>
</cp:coreProperties>
</file>