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76" w:rsidRPr="003C7D76" w:rsidRDefault="003C7D76" w:rsidP="003C7D76">
      <w:pPr>
        <w:jc w:val="center"/>
        <w:rPr>
          <w:rFonts w:ascii="Times New Roman" w:hAnsi="Times New Roman" w:cs="Times New Roman"/>
          <w:color w:val="000000"/>
        </w:rPr>
      </w:pPr>
      <w:r w:rsidRPr="003C7D76">
        <w:rPr>
          <w:rFonts w:ascii="Times New Roman" w:hAnsi="Times New Roman" w:cs="Times New Roman"/>
          <w:color w:val="000000"/>
        </w:rPr>
        <w:t>ДУБЕЧНЕНСЬКА СІЛЬСЬКА РАДА</w:t>
      </w:r>
    </w:p>
    <w:p w:rsidR="003C7D76" w:rsidRPr="003C7D76" w:rsidRDefault="003C7D76" w:rsidP="003C7D76">
      <w:pPr>
        <w:jc w:val="center"/>
        <w:rPr>
          <w:rFonts w:ascii="Times New Roman" w:hAnsi="Times New Roman" w:cs="Times New Roman"/>
          <w:color w:val="000000"/>
        </w:rPr>
      </w:pPr>
      <w:r w:rsidRPr="003C7D76">
        <w:rPr>
          <w:rFonts w:ascii="Times New Roman" w:hAnsi="Times New Roman" w:cs="Times New Roman"/>
          <w:color w:val="000000"/>
        </w:rPr>
        <w:t>ГІМНАЗІЯ СЕЛА ТЕКЛЯ</w:t>
      </w:r>
    </w:p>
    <w:p w:rsidR="003C7D76" w:rsidRPr="003C7D76" w:rsidRDefault="003C7D76" w:rsidP="003C7D76">
      <w:pPr>
        <w:rPr>
          <w:rFonts w:ascii="Times New Roman" w:hAnsi="Times New Roman" w:cs="Times New Roman"/>
          <w:color w:val="000000"/>
        </w:rPr>
      </w:pPr>
    </w:p>
    <w:p w:rsidR="003C7D76" w:rsidRPr="003C7D76" w:rsidRDefault="003C7D76" w:rsidP="003C7D76">
      <w:pPr>
        <w:ind w:left="7655" w:hanging="232"/>
        <w:rPr>
          <w:rFonts w:ascii="Times New Roman" w:hAnsi="Times New Roman" w:cs="Times New Roman"/>
          <w:color w:val="000000"/>
        </w:rPr>
      </w:pPr>
      <w:r w:rsidRPr="003C7D76">
        <w:rPr>
          <w:rFonts w:ascii="Times New Roman" w:hAnsi="Times New Roman" w:cs="Times New Roman"/>
          <w:color w:val="000000"/>
        </w:rPr>
        <w:t>ЗАТВЕРДЖЕНО</w:t>
      </w:r>
    </w:p>
    <w:p w:rsidR="003C7D76" w:rsidRPr="003C7D76" w:rsidRDefault="003C7D76" w:rsidP="003C7D76">
      <w:pPr>
        <w:ind w:left="7655" w:hanging="232"/>
        <w:rPr>
          <w:rFonts w:ascii="Times New Roman" w:hAnsi="Times New Roman" w:cs="Times New Roman"/>
          <w:color w:val="000000"/>
        </w:rPr>
      </w:pPr>
      <w:r w:rsidRPr="003C7D76">
        <w:rPr>
          <w:rFonts w:ascii="Times New Roman" w:hAnsi="Times New Roman" w:cs="Times New Roman"/>
          <w:color w:val="000000"/>
        </w:rPr>
        <w:t>Наказ директора</w:t>
      </w:r>
    </w:p>
    <w:p w:rsidR="003C7D76" w:rsidRPr="003C7D76" w:rsidRDefault="003C7D76" w:rsidP="003C7D76">
      <w:pPr>
        <w:ind w:left="7655" w:hanging="232"/>
        <w:rPr>
          <w:rFonts w:ascii="Times New Roman" w:hAnsi="Times New Roman" w:cs="Times New Roman"/>
          <w:color w:val="000000"/>
        </w:rPr>
      </w:pPr>
      <w:r w:rsidRPr="003C7D76">
        <w:rPr>
          <w:rFonts w:ascii="Times New Roman" w:hAnsi="Times New Roman" w:cs="Times New Roman"/>
          <w:color w:val="000000"/>
        </w:rPr>
        <w:t>гімназії села Текля</w:t>
      </w:r>
    </w:p>
    <w:p w:rsidR="003C7D76" w:rsidRPr="003C7D76" w:rsidRDefault="003C7D76" w:rsidP="003C7D76">
      <w:pPr>
        <w:ind w:left="7655" w:hanging="232"/>
        <w:rPr>
          <w:rFonts w:ascii="Times New Roman" w:hAnsi="Times New Roman" w:cs="Times New Roman"/>
          <w:color w:val="000000"/>
        </w:rPr>
      </w:pPr>
      <w:r w:rsidRPr="003C7D76">
        <w:rPr>
          <w:rFonts w:ascii="Times New Roman" w:hAnsi="Times New Roman" w:cs="Times New Roman"/>
          <w:color w:val="000000"/>
        </w:rPr>
        <w:t>20.03.2024 №23</w:t>
      </w:r>
    </w:p>
    <w:p w:rsidR="003C7D76" w:rsidRPr="003C7D76" w:rsidRDefault="003C7D76" w:rsidP="003C7D76">
      <w:pPr>
        <w:jc w:val="center"/>
        <w:rPr>
          <w:rFonts w:ascii="Times New Roman" w:hAnsi="Times New Roman" w:cs="Times New Roman"/>
          <w:b/>
        </w:rPr>
      </w:pPr>
    </w:p>
    <w:p w:rsidR="00E14ABC" w:rsidRPr="003C7D76" w:rsidRDefault="00A425F4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C7D76">
        <w:rPr>
          <w:rFonts w:ascii="Times New Roman" w:eastAsia="Times New Roman" w:hAnsi="Times New Roman" w:cs="Times New Roman"/>
          <w:b/>
          <w:color w:val="000000"/>
        </w:rPr>
        <w:t xml:space="preserve">ПОЛОЖЕННЯ </w:t>
      </w:r>
    </w:p>
    <w:p w:rsidR="00E14ABC" w:rsidRDefault="00A425F4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C7D76">
        <w:rPr>
          <w:rFonts w:ascii="Times New Roman" w:eastAsia="Times New Roman" w:hAnsi="Times New Roman" w:cs="Times New Roman"/>
          <w:b/>
          <w:color w:val="000000"/>
        </w:rPr>
        <w:t>про службу охорони праці</w:t>
      </w:r>
    </w:p>
    <w:p w:rsidR="008D05C4" w:rsidRPr="003C7D76" w:rsidRDefault="008D05C4">
      <w:pPr>
        <w:pBdr>
          <w:top w:val="nil"/>
          <w:left w:val="nil"/>
          <w:bottom w:val="nil"/>
          <w:right w:val="nil"/>
          <w:between w:val="nil"/>
        </w:pBdr>
        <w:spacing w:line="283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4ABC" w:rsidRPr="003C7D76" w:rsidRDefault="00A425F4" w:rsidP="003C7D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274" w:lineRule="auto"/>
        <w:jc w:val="center"/>
        <w:rPr>
          <w:rFonts w:ascii="Times New Roman" w:hAnsi="Times New Roman" w:cs="Times New Roman"/>
        </w:rPr>
      </w:pPr>
      <w:r w:rsidRPr="003C7D76">
        <w:rPr>
          <w:rFonts w:ascii="Times New Roman" w:eastAsia="Times New Roman" w:hAnsi="Times New Roman" w:cs="Times New Roman"/>
          <w:b/>
          <w:color w:val="000000"/>
        </w:rPr>
        <w:t>Загальні положення</w:t>
      </w:r>
    </w:p>
    <w:p w:rsidR="00E14ABC" w:rsidRPr="003C7D76" w:rsidRDefault="00A425F4" w:rsidP="003C7D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Згідно із Законом України “Про охорону праці” служба охорони праці створюється роботодавцем для організації виконання правових, організаційно-технічних, санітарно- гігієнічних, соці</w:t>
      </w:r>
      <w:r w:rsidR="00A57B73">
        <w:rPr>
          <w:rFonts w:ascii="Times New Roman" w:eastAsia="Times New Roman" w:hAnsi="Times New Roman" w:cs="Times New Roman"/>
          <w:color w:val="000000"/>
        </w:rPr>
        <w:t>ально-економічних і лікувально-п</w:t>
      </w:r>
      <w:r w:rsidRPr="003C7D76">
        <w:rPr>
          <w:rFonts w:ascii="Times New Roman" w:eastAsia="Times New Roman" w:hAnsi="Times New Roman" w:cs="Times New Roman"/>
          <w:color w:val="000000"/>
        </w:rPr>
        <w:t>рофілактичних заходів, спрямованих на запоб</w:t>
      </w:r>
      <w:r w:rsidRPr="003C7D76">
        <w:rPr>
          <w:rFonts w:ascii="Times New Roman" w:eastAsia="Times New Roman" w:hAnsi="Times New Roman" w:cs="Times New Roman"/>
          <w:color w:val="000000"/>
        </w:rPr>
        <w:t>ігання нещасним випадкам, професійним захворюванням і аваріям у процесі праці.</w:t>
      </w:r>
    </w:p>
    <w:p w:rsidR="00E14ABC" w:rsidRPr="003C7D76" w:rsidRDefault="00A425F4" w:rsidP="003C7D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Положення про службу охорони праці закладу загальної середньої освіти розроблено на основі Типового положення про службу охорони праці, затвердженого наказом Державного комітету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України з нагляду та охор</w:t>
      </w:r>
      <w:r w:rsidR="00A57B73">
        <w:rPr>
          <w:rFonts w:ascii="Times New Roman" w:eastAsia="Times New Roman" w:hAnsi="Times New Roman" w:cs="Times New Roman"/>
          <w:color w:val="000000"/>
        </w:rPr>
        <w:t>они праці від 15.11.2004 №255 (</w:t>
      </w:r>
      <w:r w:rsidRPr="003C7D76">
        <w:rPr>
          <w:rFonts w:ascii="Times New Roman" w:eastAsia="Times New Roman" w:hAnsi="Times New Roman" w:cs="Times New Roman"/>
          <w:color w:val="000000"/>
        </w:rPr>
        <w:t>Із змінами, внесеними згідно з Наказом Державного комітету України з промислової безпеки, охор</w:t>
      </w:r>
      <w:r w:rsidR="00A57B73">
        <w:rPr>
          <w:rFonts w:ascii="Times New Roman" w:eastAsia="Times New Roman" w:hAnsi="Times New Roman" w:cs="Times New Roman"/>
          <w:color w:val="000000"/>
        </w:rPr>
        <w:t>они праці та гірничого нагляду №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236 ( т\ 191-07 ) від 02.10.2007 Наказом Міністерства соціальної політи</w:t>
      </w:r>
      <w:r w:rsidR="00A57B73">
        <w:rPr>
          <w:rFonts w:ascii="Times New Roman" w:eastAsia="Times New Roman" w:hAnsi="Times New Roman" w:cs="Times New Roman"/>
          <w:color w:val="000000"/>
        </w:rPr>
        <w:t xml:space="preserve">ки № </w:t>
      </w:r>
      <w:r w:rsidRPr="003C7D76">
        <w:rPr>
          <w:rFonts w:ascii="Times New Roman" w:eastAsia="Times New Roman" w:hAnsi="Times New Roman" w:cs="Times New Roman"/>
          <w:color w:val="000000"/>
        </w:rPr>
        <w:t>148 ( г0236-17 ) від 31.01.2017</w:t>
      </w:r>
      <w:r w:rsidR="00A57B73">
        <w:rPr>
          <w:rFonts w:ascii="Times New Roman" w:eastAsia="Times New Roman" w:hAnsi="Times New Roman" w:cs="Times New Roman"/>
          <w:color w:val="000000"/>
        </w:rPr>
        <w:t>)</w:t>
      </w:r>
      <w:r w:rsidRPr="003C7D76">
        <w:rPr>
          <w:rFonts w:ascii="Times New Roman" w:eastAsia="Times New Roman" w:hAnsi="Times New Roman" w:cs="Times New Roman"/>
          <w:color w:val="000000"/>
        </w:rPr>
        <w:t>, в якому визначено структуру служби охорони праці, її чисельність, основні завдання, функції та права її працівників відповідно до законодавства.</w:t>
      </w:r>
    </w:p>
    <w:p w:rsidR="00E14ABC" w:rsidRPr="003C7D76" w:rsidRDefault="00A425F4" w:rsidP="003C7D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 xml:space="preserve">Служба охорони праці </w:t>
      </w:r>
      <w:r w:rsidR="003C7D76">
        <w:rPr>
          <w:rFonts w:ascii="Times New Roman" w:eastAsia="Times New Roman" w:hAnsi="Times New Roman" w:cs="Times New Roman"/>
          <w:color w:val="000000"/>
        </w:rPr>
        <w:t>Гімназії села Текля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</w:t>
      </w:r>
      <w:r w:rsidR="003C7D76">
        <w:rPr>
          <w:rFonts w:ascii="Times New Roman" w:eastAsia="Times New Roman" w:hAnsi="Times New Roman" w:cs="Times New Roman"/>
          <w:color w:val="000000"/>
        </w:rPr>
        <w:t>(</w:t>
      </w:r>
      <w:r w:rsidRPr="003C7D76">
        <w:rPr>
          <w:rFonts w:ascii="Times New Roman" w:eastAsia="Times New Roman" w:hAnsi="Times New Roman" w:cs="Times New Roman"/>
          <w:color w:val="000000"/>
        </w:rPr>
        <w:t>при чис</w:t>
      </w:r>
      <w:r w:rsidRPr="003C7D76">
        <w:rPr>
          <w:rFonts w:ascii="Times New Roman" w:eastAsia="Times New Roman" w:hAnsi="Times New Roman" w:cs="Times New Roman"/>
          <w:color w:val="000000"/>
        </w:rPr>
        <w:t>ельності працюючих 50 чоловік) складається із посадової особи, на яку покладено керівництво службою охорони праці, та працівників служби.</w:t>
      </w:r>
    </w:p>
    <w:p w:rsidR="00E14ABC" w:rsidRPr="003C7D76" w:rsidRDefault="00A425F4" w:rsidP="003C7D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Служба охорони праці закладу освіти підпорядковується безпосередньо директору закладу.</w:t>
      </w:r>
    </w:p>
    <w:p w:rsidR="00E14ABC" w:rsidRPr="003C7D76" w:rsidRDefault="00A425F4" w:rsidP="003C7D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Навчання та перевірка знань з п</w:t>
      </w:r>
      <w:r w:rsidRPr="003C7D76">
        <w:rPr>
          <w:rFonts w:ascii="Times New Roman" w:eastAsia="Times New Roman" w:hAnsi="Times New Roman" w:cs="Times New Roman"/>
          <w:color w:val="000000"/>
        </w:rPr>
        <w:t>итань охорони праці працівників служби охорони праці проводяться в установленому законодавством порядку під час прийняття на роботу та періодично один раз на три роки.</w:t>
      </w:r>
    </w:p>
    <w:p w:rsidR="00E14ABC" w:rsidRPr="003C7D76" w:rsidRDefault="00A425F4" w:rsidP="003C7D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Працівники служби охорони праці закладу загальної середньої освіти в своїй діяльності ке</w:t>
      </w:r>
      <w:r w:rsidRPr="003C7D76">
        <w:rPr>
          <w:rFonts w:ascii="Times New Roman" w:eastAsia="Times New Roman" w:hAnsi="Times New Roman" w:cs="Times New Roman"/>
          <w:color w:val="000000"/>
        </w:rPr>
        <w:t>руються законодавством України, нормативно-правовими актами з охорони праці, колективним договором та актами з охорони праці, що діють в межах закладу.</w:t>
      </w:r>
    </w:p>
    <w:p w:rsidR="00E14ABC" w:rsidRPr="003C7D76" w:rsidRDefault="00A425F4" w:rsidP="003C7D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 xml:space="preserve">Члени СОП повинні знати: яке обладнання та устаткування застосовується в роботі ліцею, особливості його </w:t>
      </w:r>
      <w:r w:rsidRPr="003C7D76">
        <w:rPr>
          <w:rFonts w:ascii="Times New Roman" w:eastAsia="Times New Roman" w:hAnsi="Times New Roman" w:cs="Times New Roman"/>
          <w:color w:val="000000"/>
        </w:rPr>
        <w:t>застосування, методи вивчення умов праці на робочих місцях, організацію роботи з охорони праці, систему стандартів безпеки праці, психологічні вимоги до працівників виходячи з категорії робіт з особливим характером, обмеження застосування праці жінок, підл</w:t>
      </w:r>
      <w:r w:rsidRPr="003C7D76">
        <w:rPr>
          <w:rFonts w:ascii="Times New Roman" w:eastAsia="Times New Roman" w:hAnsi="Times New Roman" w:cs="Times New Roman"/>
          <w:color w:val="000000"/>
        </w:rPr>
        <w:t>ітків, передовий вітчизняний та зарубіжний досвід з охорони праці, порядок та строки складання звітності про виконанні заходи з охорони праці, основи трудового законодавства, санітарії та гігієни праці.</w:t>
      </w:r>
    </w:p>
    <w:p w:rsidR="00E14ABC" w:rsidRPr="003C7D76" w:rsidRDefault="00A425F4" w:rsidP="003C7D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Ліквідація служби охорони праці допускається тільки в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разі ліквідації ЗЗСО.</w:t>
      </w:r>
    </w:p>
    <w:p w:rsidR="00E14ABC" w:rsidRPr="003C7D76" w:rsidRDefault="00E14AB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E14ABC" w:rsidRPr="003C7D76" w:rsidRDefault="00A42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C7D76">
        <w:rPr>
          <w:rFonts w:ascii="Times New Roman" w:eastAsia="Times New Roman" w:hAnsi="Times New Roman" w:cs="Times New Roman"/>
          <w:b/>
          <w:color w:val="000000"/>
        </w:rPr>
        <w:t>Основні завдання та обов’язки керівника служби охорони праці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 xml:space="preserve">Забезпечення фахової </w:t>
      </w:r>
      <w:r w:rsidR="003C7D76">
        <w:rPr>
          <w:rFonts w:ascii="Times New Roman" w:eastAsia="Times New Roman" w:hAnsi="Times New Roman" w:cs="Times New Roman"/>
          <w:color w:val="000000"/>
        </w:rPr>
        <w:t>підтримки рішень директора гімназії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з питань опрацювання ефективної системи управління охороною праці в закладі освіти та сприяння удосконаленню діяльності у цьому напрямку кожного структурного підрозділу і кожного працівника.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Організація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проведення профілактичних заходів, спрямованих на усунення шкідливих і небезпечних виробничих факторів, запобігання нещасним випадкам у закладі освіти, професійним захворюванням та іншим випадкам загрози життю або здоров’ю працівників </w:t>
      </w:r>
      <w:r w:rsidRPr="003C7D76">
        <w:rPr>
          <w:rFonts w:ascii="Times New Roman" w:eastAsia="Times New Roman" w:hAnsi="Times New Roman" w:cs="Times New Roman"/>
          <w:color w:val="000000"/>
        </w:rPr>
        <w:lastRenderedPageBreak/>
        <w:t>та здобувачів освіти</w:t>
      </w:r>
      <w:r w:rsidRPr="003C7D76">
        <w:rPr>
          <w:rFonts w:ascii="Times New Roman" w:eastAsia="Times New Roman" w:hAnsi="Times New Roman" w:cs="Times New Roman"/>
          <w:color w:val="000000"/>
        </w:rPr>
        <w:t>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Вивчення та сприяння впровадженню в закладі освіти досягнень науки і техніки, прогресивних і безпечних технологій, сучасних засобів колективного та індивідуального захисту працівників.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Контроль за дотриманням працівниками вимог законів та інших нормативн</w:t>
      </w:r>
      <w:r w:rsidRPr="003C7D76">
        <w:rPr>
          <w:rFonts w:ascii="Times New Roman" w:eastAsia="Times New Roman" w:hAnsi="Times New Roman" w:cs="Times New Roman"/>
          <w:color w:val="000000"/>
        </w:rPr>
        <w:t>о- правових актів з охорони праці, положень (у раді наявності) галузево</w:t>
      </w:r>
      <w:r w:rsidR="003A632C">
        <w:rPr>
          <w:rFonts w:ascii="Times New Roman" w:eastAsia="Times New Roman" w:hAnsi="Times New Roman" w:cs="Times New Roman"/>
          <w:color w:val="000000"/>
        </w:rPr>
        <w:t>ї угоди, розділу «Охорона праці»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колективного договору та актів з охорони праці, що діють у межах закладу освіти.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 xml:space="preserve">Інформування та надання роз'яснень працівникам закладу освіти з питань </w:t>
      </w:r>
      <w:r w:rsidRPr="003C7D76">
        <w:rPr>
          <w:rFonts w:ascii="Times New Roman" w:eastAsia="Times New Roman" w:hAnsi="Times New Roman" w:cs="Times New Roman"/>
          <w:color w:val="000000"/>
        </w:rPr>
        <w:t>охорони праці.</w:t>
      </w:r>
    </w:p>
    <w:p w:rsidR="00E14ABC" w:rsidRPr="003C7D76" w:rsidRDefault="00E14ABC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14ABC" w:rsidRPr="003C7D76" w:rsidRDefault="00A42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b/>
          <w:color w:val="000000"/>
        </w:rPr>
        <w:t>Функції служби охорони праці</w:t>
      </w:r>
    </w:p>
    <w:p w:rsidR="00E14ABC" w:rsidRPr="003C7D76" w:rsidRDefault="003A63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Розроблення спільно з іншими підрозділами закладу загальної середньої освіти комплексних заходів для досягнення встановлених нормативів та підвищення існуючого рівня охорони праці, планів, програм поліпшення умов праці, запобігання виробничому травматизму,</w:t>
      </w:r>
      <w:r w:rsidR="00A425F4" w:rsidRPr="003C7D76">
        <w:rPr>
          <w:rFonts w:ascii="Times New Roman" w:eastAsia="Times New Roman" w:hAnsi="Times New Roman" w:cs="Times New Roman"/>
          <w:color w:val="000000"/>
        </w:rPr>
        <w:t xml:space="preserve"> професійним захворюванням, надання організаційно-методичної допомоги у виконанні запланованих заходів.</w:t>
      </w:r>
    </w:p>
    <w:p w:rsidR="00E14ABC" w:rsidRPr="003C7D76" w:rsidRDefault="003A63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 xml:space="preserve">Підготовка </w:t>
      </w:r>
      <w:proofErr w:type="spellStart"/>
      <w:r w:rsidR="00A425F4" w:rsidRPr="003C7D76">
        <w:rPr>
          <w:rFonts w:ascii="Times New Roman" w:eastAsia="Times New Roman" w:hAnsi="Times New Roman" w:cs="Times New Roman"/>
          <w:color w:val="000000"/>
        </w:rPr>
        <w:t>проєктів</w:t>
      </w:r>
      <w:proofErr w:type="spellEnd"/>
      <w:r w:rsidR="00A425F4" w:rsidRPr="003C7D76">
        <w:rPr>
          <w:rFonts w:ascii="Times New Roman" w:eastAsia="Times New Roman" w:hAnsi="Times New Roman" w:cs="Times New Roman"/>
          <w:color w:val="000000"/>
        </w:rPr>
        <w:t xml:space="preserve"> наказів (розпоряджень) з питань охорони праці і внесе</w:t>
      </w:r>
      <w:r>
        <w:rPr>
          <w:rFonts w:ascii="Times New Roman" w:eastAsia="Times New Roman" w:hAnsi="Times New Roman" w:cs="Times New Roman"/>
          <w:color w:val="000000"/>
        </w:rPr>
        <w:t>ння їх на розгляд роботодавцю. (</w:t>
      </w:r>
      <w:r w:rsidR="00A425F4" w:rsidRPr="003C7D76">
        <w:rPr>
          <w:rFonts w:ascii="Times New Roman" w:eastAsia="Times New Roman" w:hAnsi="Times New Roman" w:cs="Times New Roman"/>
          <w:color w:val="000000"/>
        </w:rPr>
        <w:t xml:space="preserve">Пункт 3.2 глави З із змінами, внесеними згідно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 xml:space="preserve">з Наказом Міністерства соціальної політики </w:t>
      </w:r>
      <w:r>
        <w:rPr>
          <w:rFonts w:ascii="Times New Roman" w:eastAsia="Times New Roman" w:hAnsi="Times New Roman" w:cs="Times New Roman"/>
          <w:color w:val="000000"/>
        </w:rPr>
        <w:t>№148 (20236-17) від 31.01.2017).</w:t>
      </w:r>
    </w:p>
    <w:p w:rsidR="00E14ABC" w:rsidRPr="003C7D76" w:rsidRDefault="003A63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 xml:space="preserve">Проведення спільно з представниками інших структурних підрозділів і за участю представників </w:t>
      </w:r>
      <w:r w:rsidR="00A57B73">
        <w:rPr>
          <w:rFonts w:ascii="Times New Roman" w:eastAsia="Times New Roman" w:hAnsi="Times New Roman" w:cs="Times New Roman"/>
          <w:color w:val="000000"/>
        </w:rPr>
        <w:t>трудового колективу гімназії з</w:t>
      </w:r>
      <w:r w:rsidR="00A425F4" w:rsidRPr="003C7D76">
        <w:rPr>
          <w:rFonts w:ascii="Times New Roman" w:eastAsia="Times New Roman" w:hAnsi="Times New Roman" w:cs="Times New Roman"/>
          <w:color w:val="000000"/>
        </w:rPr>
        <w:t xml:space="preserve"> перевірок дотримання працівниками вимог норм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ативно-правових актів з охорони праці.</w:t>
      </w:r>
    </w:p>
    <w:p w:rsidR="00E14ABC" w:rsidRPr="003C7D76" w:rsidRDefault="003A63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Складання звітності з охорони праці за встановленими формами.</w:t>
      </w:r>
    </w:p>
    <w:p w:rsidR="00E14ABC" w:rsidRPr="003C7D76" w:rsidRDefault="003A63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Проведення з працівниками вступного інструктажу з питань охорони праці.</w:t>
      </w:r>
    </w:p>
    <w:p w:rsidR="00E14ABC" w:rsidRPr="003C7D76" w:rsidRDefault="00A57B7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="00A425F4" w:rsidRPr="003C7D76">
        <w:rPr>
          <w:rFonts w:ascii="Times New Roman" w:eastAsia="Times New Roman" w:hAnsi="Times New Roman" w:cs="Times New Roman"/>
        </w:rPr>
        <w:t>Пункт 3.5 глави 3 із змінами, внесеними згідно з Наказом Міністерства соціальної п</w:t>
      </w:r>
      <w:r w:rsidR="003A632C">
        <w:rPr>
          <w:rFonts w:ascii="Times New Roman" w:eastAsia="Times New Roman" w:hAnsi="Times New Roman" w:cs="Times New Roman"/>
        </w:rPr>
        <w:t xml:space="preserve">олітики № </w:t>
      </w:r>
      <w:r>
        <w:rPr>
          <w:rFonts w:ascii="Times New Roman" w:eastAsia="Times New Roman" w:hAnsi="Times New Roman" w:cs="Times New Roman"/>
        </w:rPr>
        <w:t>148 ( г0236-17 ) від 31.01.2017)</w:t>
      </w:r>
      <w:r w:rsidR="008D05C4">
        <w:rPr>
          <w:rFonts w:ascii="Times New Roman" w:eastAsia="Times New Roman" w:hAnsi="Times New Roman" w:cs="Times New Roman"/>
        </w:rPr>
        <w:t>.</w:t>
      </w:r>
    </w:p>
    <w:p w:rsidR="00E14ABC" w:rsidRPr="003C7D76" w:rsidRDefault="003A63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Ведення обліку та проведення аналізу причин виробничого травмат</w:t>
      </w:r>
      <w:r>
        <w:rPr>
          <w:rFonts w:ascii="Times New Roman" w:eastAsia="Times New Roman" w:hAnsi="Times New Roman" w:cs="Times New Roman"/>
          <w:color w:val="000000"/>
        </w:rPr>
        <w:t>изму, професійних захворювань. (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Пункт 3.6 глави 3 із змінами, внесеними згідно з Наказом Мі</w:t>
      </w:r>
      <w:r>
        <w:rPr>
          <w:rFonts w:ascii="Times New Roman" w:eastAsia="Times New Roman" w:hAnsi="Times New Roman" w:cs="Times New Roman"/>
          <w:color w:val="000000"/>
        </w:rPr>
        <w:t>ністерства соціальної політики №</w:t>
      </w:r>
      <w:r w:rsidR="00A425F4" w:rsidRPr="003C7D76">
        <w:rPr>
          <w:rFonts w:ascii="Times New Roman" w:eastAsia="Times New Roman" w:hAnsi="Times New Roman" w:cs="Times New Roman"/>
          <w:color w:val="000000"/>
        </w:rPr>
        <w:t xml:space="preserve"> 148 ( г0236-17 ) від 31.01</w:t>
      </w:r>
      <w:r w:rsidR="00A57B73">
        <w:rPr>
          <w:rFonts w:ascii="Times New Roman" w:eastAsia="Times New Roman" w:hAnsi="Times New Roman" w:cs="Times New Roman"/>
          <w:color w:val="000000"/>
        </w:rPr>
        <w:t>.2017).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 xml:space="preserve"> Забезпечення належного оформлення і зберігання документації з питань охорони праці, а також своєчасної передачі її до архіву для тривалого зберігання згідно з установленим порядком.</w:t>
      </w:r>
    </w:p>
    <w:p w:rsidR="00E14ABC" w:rsidRPr="003C7D76" w:rsidRDefault="003A63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Складання за участю керівників підрозділів закладу загальної серед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ньої освіти переліків професій, посад і видів робіт, на які повинні бути розроблені інструкції з охорони (безпеки) праці, що діють в межах підприємства, надання методичної допомоги під час їх розроблення.</w:t>
      </w:r>
    </w:p>
    <w:p w:rsidR="00E14ABC" w:rsidRPr="003C7D76" w:rsidRDefault="003A63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Інформування працівників про основні вимоги законів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, інших нормати</w:t>
      </w:r>
      <w:r>
        <w:rPr>
          <w:rFonts w:ascii="Times New Roman" w:eastAsia="Times New Roman" w:hAnsi="Times New Roman" w:cs="Times New Roman"/>
          <w:color w:val="000000"/>
        </w:rPr>
        <w:t>вно- правових актів та актів з о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хорони праці, що діють в межах закладу.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Розгляд:</w:t>
      </w:r>
    </w:p>
    <w:p w:rsidR="00E14ABC" w:rsidRPr="003C7D76" w:rsidRDefault="00A42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питань про підтвердження наявності небезпечної виробничої ситуації, що стала причиною відмови працівника від виконання дорученої роботи, відповідно до законодавства (у разі необхідності);</w:t>
      </w:r>
    </w:p>
    <w:p w:rsidR="00E14ABC" w:rsidRPr="003C7D76" w:rsidRDefault="00A425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листів, заяв, скарг працівників закладу, що стосуються питань додерж</w:t>
      </w:r>
      <w:r w:rsidRPr="003C7D76">
        <w:rPr>
          <w:rFonts w:ascii="Times New Roman" w:eastAsia="Times New Roman" w:hAnsi="Times New Roman" w:cs="Times New Roman"/>
          <w:color w:val="000000"/>
        </w:rPr>
        <w:t>ання законодавства про охорону праці.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Організація:</w:t>
      </w:r>
    </w:p>
    <w:p w:rsidR="00E14ABC" w:rsidRPr="003C7D76" w:rsidRDefault="00A42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забезпечення підрозділів нормативно-правовими актами з охорони праці та актами з охорони праці, що діють в межах закладу освіти, посібниками, навчаль</w:t>
      </w:r>
      <w:r w:rsidR="003A632C">
        <w:rPr>
          <w:rFonts w:ascii="Times New Roman" w:eastAsia="Times New Roman" w:hAnsi="Times New Roman" w:cs="Times New Roman"/>
          <w:color w:val="000000"/>
        </w:rPr>
        <w:t>ними матеріалами з цих питань; (</w:t>
      </w:r>
      <w:r w:rsidR="008D05C4">
        <w:rPr>
          <w:rFonts w:ascii="Times New Roman" w:eastAsia="Times New Roman" w:hAnsi="Times New Roman" w:cs="Times New Roman"/>
          <w:color w:val="000000"/>
        </w:rPr>
        <w:t>а</w:t>
      </w:r>
      <w:bookmarkStart w:id="0" w:name="_GoBack"/>
      <w:bookmarkEnd w:id="0"/>
      <w:r w:rsidRPr="003C7D76">
        <w:rPr>
          <w:rFonts w:ascii="Times New Roman" w:eastAsia="Times New Roman" w:hAnsi="Times New Roman" w:cs="Times New Roman"/>
          <w:color w:val="000000"/>
        </w:rPr>
        <w:t>бзац другий пункту 3.11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глави 3 із змінами, внесеними згідно з Наказом Мі</w:t>
      </w:r>
      <w:r w:rsidR="003A632C">
        <w:rPr>
          <w:rFonts w:ascii="Times New Roman" w:eastAsia="Times New Roman" w:hAnsi="Times New Roman" w:cs="Times New Roman"/>
          <w:color w:val="000000"/>
        </w:rPr>
        <w:t>ністерства соціальної політики №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</w:t>
      </w:r>
      <w:r w:rsidR="003A632C">
        <w:rPr>
          <w:rFonts w:ascii="Times New Roman" w:eastAsia="Times New Roman" w:hAnsi="Times New Roman" w:cs="Times New Roman"/>
          <w:color w:val="000000"/>
        </w:rPr>
        <w:t>148 (г0236- 17 ) від 31.01.2017);</w:t>
      </w:r>
    </w:p>
    <w:p w:rsidR="00E14ABC" w:rsidRPr="003C7D76" w:rsidRDefault="00A42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роботи кабінету з охорони праці, підготовки інформаційних стендів, кутків з охорони праці тощо;</w:t>
      </w:r>
    </w:p>
    <w:p w:rsidR="00E14ABC" w:rsidRPr="003C7D76" w:rsidRDefault="00A42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нарад, семінарів, конкурсів тощо з питань о</w:t>
      </w:r>
      <w:r w:rsidRPr="003C7D76">
        <w:rPr>
          <w:rFonts w:ascii="Times New Roman" w:eastAsia="Times New Roman" w:hAnsi="Times New Roman" w:cs="Times New Roman"/>
          <w:color w:val="000000"/>
        </w:rPr>
        <w:t>хорони праці;</w:t>
      </w:r>
    </w:p>
    <w:p w:rsidR="00E14ABC" w:rsidRPr="003C7D76" w:rsidRDefault="00A425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пропаганди з питань охорони праці з використанням інформаційних засобів.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lastRenderedPageBreak/>
        <w:t>Участь  у:</w:t>
      </w:r>
    </w:p>
    <w:p w:rsidR="00E14ABC" w:rsidRPr="003C7D76" w:rsidRDefault="00A425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 xml:space="preserve">розслідуванні нещасних випадків, професійних захворювань та аварій на виробництві відповідно до Порядку розслідування та обліку нещасних випадків, професійних захворювань та аварій на виробництві, затвердженого постановою Кабінету Міністрів України від 17 </w:t>
      </w:r>
      <w:r w:rsidR="003A632C">
        <w:rPr>
          <w:rFonts w:ascii="Times New Roman" w:eastAsia="Times New Roman" w:hAnsi="Times New Roman" w:cs="Times New Roman"/>
          <w:color w:val="000000"/>
        </w:rPr>
        <w:t>квітня 2019 року №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337;</w:t>
      </w:r>
    </w:p>
    <w:p w:rsidR="00E14ABC" w:rsidRPr="003C7D76" w:rsidRDefault="00A425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складанні санітарно-гігієнічної характеристики умов праці працівників, які проходять обстеження щодо наявності професійних захворювань (отруєнь);</w:t>
      </w:r>
    </w:p>
    <w:p w:rsidR="00E14ABC" w:rsidRPr="003C7D76" w:rsidRDefault="00A425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проведенні внутрішнього аудиту охорони праці та атестації робочих місць на відповідніс</w:t>
      </w:r>
      <w:r w:rsidRPr="003C7D76">
        <w:rPr>
          <w:rFonts w:ascii="Times New Roman" w:eastAsia="Times New Roman" w:hAnsi="Times New Roman" w:cs="Times New Roman"/>
          <w:color w:val="000000"/>
        </w:rPr>
        <w:t>ть нормативно-правовим актам з охорони праці;</w:t>
      </w:r>
    </w:p>
    <w:p w:rsidR="00E14ABC" w:rsidRPr="003C7D76" w:rsidRDefault="00A425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роботі комісій з приймання в експлуатацію закінчених будівництвом, реконструкцією або технічним переозброєнням об'єктів виробничого та соціально-культурного призначення, відремонтованого або модернізованого уст</w:t>
      </w:r>
      <w:r w:rsidRPr="003C7D76">
        <w:rPr>
          <w:rFonts w:ascii="Times New Roman" w:eastAsia="Times New Roman" w:hAnsi="Times New Roman" w:cs="Times New Roman"/>
          <w:color w:val="000000"/>
        </w:rPr>
        <w:t>аткування в частині дотримання вимог охорони (безпеки) праці;</w:t>
      </w:r>
    </w:p>
    <w:p w:rsidR="00E14ABC" w:rsidRPr="003C7D76" w:rsidRDefault="00A425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розробленні положень, інструкцій, розділу "Охорона праці" колективного договору, інших актів з охорони (безпеки) праці, що діють у межах закладу освіти;</w:t>
      </w:r>
    </w:p>
    <w:p w:rsidR="00E14ABC" w:rsidRPr="003C7D76" w:rsidRDefault="00A425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складанні переліків професій і посад, згі</w:t>
      </w:r>
      <w:r w:rsidRPr="003C7D76">
        <w:rPr>
          <w:rFonts w:ascii="Times New Roman" w:eastAsia="Times New Roman" w:hAnsi="Times New Roman" w:cs="Times New Roman"/>
          <w:color w:val="000000"/>
        </w:rPr>
        <w:t>дно з якими працівники повинні проходити обов'язкові попередні і періодичні медичні огляди;</w:t>
      </w:r>
    </w:p>
    <w:p w:rsidR="00E14ABC" w:rsidRPr="003C7D76" w:rsidRDefault="00A425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організації навчання з питань охорони праці:</w:t>
      </w:r>
    </w:p>
    <w:p w:rsidR="00E14ABC" w:rsidRPr="003C7D76" w:rsidRDefault="00A425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роботі комісії з перевірки знань з питань охорони праці.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 xml:space="preserve">Забезпечення організаційної підтримки роботи комісії з питань 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охорони праці  </w:t>
      </w:r>
    </w:p>
    <w:p w:rsidR="00E14ABC" w:rsidRPr="003C7D76" w:rsidRDefault="00A425F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 xml:space="preserve">      закладу загальної середньої освіти.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Контроль за: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виконанням заходів, передбачених програмами, планами щодо поліпшення стану безпеки, гігієни праці та виробничого середовища, колективним договором та заходами, спрямованими на усунення причин нещасних випадків і професійних захворювань;</w:t>
      </w:r>
    </w:p>
    <w:p w:rsidR="00E14ABC" w:rsidRPr="003C7D76" w:rsidRDefault="003A63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r w:rsidR="008D05C4">
        <w:rPr>
          <w:rFonts w:ascii="Times New Roman" w:eastAsia="Times New Roman" w:hAnsi="Times New Roman" w:cs="Times New Roman"/>
          <w:color w:val="000000"/>
        </w:rPr>
        <w:t>а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бзац другий пункт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у 3.14 глави 3 із змінами, внесеними згідно з Наказом Мі</w:t>
      </w:r>
      <w:r>
        <w:rPr>
          <w:rFonts w:ascii="Times New Roman" w:eastAsia="Times New Roman" w:hAnsi="Times New Roman" w:cs="Times New Roman"/>
          <w:color w:val="000000"/>
        </w:rPr>
        <w:t>ністерства соціальної політики № 148 (г0236-17) від 31.01.2017);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наявністю в структурних підрозділах інструкцій з охорони праці згідно з переліком професій, посад і видів робіт, своєчасним внесенням в</w:t>
      </w:r>
      <w:r w:rsidR="003A632C">
        <w:rPr>
          <w:rFonts w:ascii="Times New Roman" w:eastAsia="Times New Roman" w:hAnsi="Times New Roman" w:cs="Times New Roman"/>
          <w:color w:val="000000"/>
        </w:rPr>
        <w:t xml:space="preserve"> них змін; (</w:t>
      </w:r>
      <w:r w:rsidR="008D05C4">
        <w:rPr>
          <w:rFonts w:ascii="Times New Roman" w:eastAsia="Times New Roman" w:hAnsi="Times New Roman" w:cs="Times New Roman"/>
          <w:color w:val="000000"/>
        </w:rPr>
        <w:t>а</w:t>
      </w:r>
      <w:r w:rsidRPr="003C7D76">
        <w:rPr>
          <w:rFonts w:ascii="Times New Roman" w:eastAsia="Times New Roman" w:hAnsi="Times New Roman" w:cs="Times New Roman"/>
          <w:color w:val="000000"/>
        </w:rPr>
        <w:t>бзац четвертий пункту 3.14 глави 3 із змінами, внесеними згідно з Наказом Мі</w:t>
      </w:r>
      <w:r w:rsidR="003A632C">
        <w:rPr>
          <w:rFonts w:ascii="Times New Roman" w:eastAsia="Times New Roman" w:hAnsi="Times New Roman" w:cs="Times New Roman"/>
          <w:color w:val="000000"/>
        </w:rPr>
        <w:t>ністерства соціальної політики №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</w:t>
      </w:r>
      <w:r w:rsidR="003A632C">
        <w:rPr>
          <w:rFonts w:ascii="Times New Roman" w:eastAsia="Times New Roman" w:hAnsi="Times New Roman" w:cs="Times New Roman"/>
          <w:color w:val="000000"/>
        </w:rPr>
        <w:t>148 (20236-17 ) від 31.01.2017 );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своєчасним проведенням необхідних випробувань і технічних оглядів устаткування;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станом запобіжних і з</w:t>
      </w:r>
      <w:r w:rsidRPr="003C7D76">
        <w:rPr>
          <w:rFonts w:ascii="Times New Roman" w:eastAsia="Times New Roman" w:hAnsi="Times New Roman" w:cs="Times New Roman"/>
          <w:color w:val="000000"/>
        </w:rPr>
        <w:t>ахисних пристроїв, вентиляційних систем;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своєчасним проведенням навчання з питань охорони праці, всіх видів інструктажу з охорони праці;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забезпеченням працівників відповідно до законодавства спецодягом, спецвзуттям та іншими засобами індивідуального та кол</w:t>
      </w:r>
      <w:r w:rsidRPr="003C7D76">
        <w:rPr>
          <w:rFonts w:ascii="Times New Roman" w:eastAsia="Times New Roman" w:hAnsi="Times New Roman" w:cs="Times New Roman"/>
          <w:color w:val="000000"/>
        </w:rPr>
        <w:t>ективного захисту, мийними та знешкоджувальними засобами;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санітарно-гігієнічними і санітарно-побутовими умовами працівників згідно з нормативно-правовими актами;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своєчасним і правильним наданням працівникам пільг і компенсацій за важкі та шкідливі умови пр</w:t>
      </w:r>
      <w:r w:rsidRPr="003C7D76">
        <w:rPr>
          <w:rFonts w:ascii="Times New Roman" w:eastAsia="Times New Roman" w:hAnsi="Times New Roman" w:cs="Times New Roman"/>
          <w:color w:val="000000"/>
        </w:rPr>
        <w:t>аці: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дотриманням у належному безпечному стані території закладу освіти, внутрішніх доріг та пішохідних доріжок: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організацією робочих місць відповідно до нормативно-правових актів з охорони праці;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використанням цільових коштів, виділених для виконання компл</w:t>
      </w:r>
      <w:r w:rsidRPr="003C7D76">
        <w:rPr>
          <w:rFonts w:ascii="Times New Roman" w:eastAsia="Times New Roman" w:hAnsi="Times New Roman" w:cs="Times New Roman"/>
          <w:color w:val="000000"/>
        </w:rPr>
        <w:t>ексних заходів для досягнення встановлених нормативів та підвищення існуючого рівня охорони праці;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застосуванням праці жінок, інвалідів і осіб, молодших 18 років, відповідно до законодавства;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lastRenderedPageBreak/>
        <w:t>виконанням приписів посадових осіб органів державного нагляду за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охороною праці та поданням страхового експерта з охорони праці;</w:t>
      </w:r>
    </w:p>
    <w:p w:rsidR="00E14ABC" w:rsidRPr="003C7D76" w:rsidRDefault="00A425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проведенням попередніх (під час прийняття на роботу) і періодичних (протягом трудової діяльності) щорічних медичних оглядів працівників.</w:t>
      </w:r>
    </w:p>
    <w:p w:rsidR="00E14ABC" w:rsidRDefault="00E14ABC">
      <w:pPr>
        <w:jc w:val="both"/>
        <w:rPr>
          <w:rFonts w:ascii="Times New Roman" w:eastAsia="Times New Roman" w:hAnsi="Times New Roman" w:cs="Times New Roman"/>
        </w:rPr>
      </w:pPr>
    </w:p>
    <w:p w:rsidR="003A632C" w:rsidRPr="003C7D76" w:rsidRDefault="003A632C">
      <w:pPr>
        <w:jc w:val="both"/>
        <w:rPr>
          <w:rFonts w:ascii="Times New Roman" w:eastAsia="Times New Roman" w:hAnsi="Times New Roman" w:cs="Times New Roman"/>
        </w:rPr>
      </w:pPr>
    </w:p>
    <w:p w:rsidR="00E14ABC" w:rsidRPr="003C7D76" w:rsidRDefault="00A42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C7D76">
        <w:rPr>
          <w:rFonts w:ascii="Times New Roman" w:eastAsia="Times New Roman" w:hAnsi="Times New Roman" w:cs="Times New Roman"/>
          <w:b/>
          <w:color w:val="000000"/>
        </w:rPr>
        <w:t>Права працівників служби охорони праці</w:t>
      </w:r>
    </w:p>
    <w:p w:rsidR="00E14ABC" w:rsidRPr="003C7D76" w:rsidRDefault="00E14ABC">
      <w:pPr>
        <w:jc w:val="both"/>
        <w:rPr>
          <w:rFonts w:ascii="Times New Roman" w:eastAsia="Times New Roman" w:hAnsi="Times New Roman" w:cs="Times New Roman"/>
        </w:rPr>
      </w:pP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 xml:space="preserve">  Спеціалісти служби охорони праці мають право:</w:t>
      </w:r>
    </w:p>
    <w:p w:rsidR="00E14ABC" w:rsidRPr="003C7D76" w:rsidRDefault="00A42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видавати керівник</w:t>
      </w:r>
      <w:r w:rsidR="00FE47A0">
        <w:rPr>
          <w:rFonts w:ascii="Times New Roman" w:eastAsia="Times New Roman" w:hAnsi="Times New Roman" w:cs="Times New Roman"/>
          <w:color w:val="000000"/>
        </w:rPr>
        <w:t>ам структурних підрозділів гімназії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обов’язкові для виконання приписи (за формою згідно з додатком) щодо усунення наявних недоліків, одержувати від них необхідні відомості, документацію і поясне</w:t>
      </w:r>
      <w:r w:rsidRPr="003C7D76">
        <w:rPr>
          <w:rFonts w:ascii="Times New Roman" w:eastAsia="Times New Roman" w:hAnsi="Times New Roman" w:cs="Times New Roman"/>
          <w:color w:val="000000"/>
        </w:rPr>
        <w:t>ння з питань охорони праці. Припис спеціаліста з охорони праці може ск</w:t>
      </w:r>
      <w:r w:rsidR="003A632C">
        <w:rPr>
          <w:rFonts w:ascii="Times New Roman" w:eastAsia="Times New Roman" w:hAnsi="Times New Roman" w:cs="Times New Roman"/>
          <w:color w:val="000000"/>
        </w:rPr>
        <w:t>асувати лише директор закладу о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світи. Припис складається в 2 примірниках, один з яких видається керівникові структурного підрозділу, другий залишається та реєструється у службі охорони </w:t>
      </w:r>
      <w:r w:rsidRPr="003C7D76">
        <w:rPr>
          <w:rFonts w:ascii="Times New Roman" w:eastAsia="Times New Roman" w:hAnsi="Times New Roman" w:cs="Times New Roman"/>
          <w:color w:val="000000"/>
        </w:rPr>
        <w:t>праці, і зберігається протягом 5 років. Якщо керівн</w:t>
      </w:r>
      <w:r w:rsidR="00FE47A0">
        <w:rPr>
          <w:rFonts w:ascii="Times New Roman" w:eastAsia="Times New Roman" w:hAnsi="Times New Roman" w:cs="Times New Roman"/>
          <w:color w:val="000000"/>
        </w:rPr>
        <w:t xml:space="preserve">ик структурного підрозділу 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відмовляється від підпису в одержанні припису, спеціаліст з охорони праці надсилає відповідне подання на ім’я дир</w:t>
      </w:r>
      <w:r w:rsidR="003A632C">
        <w:rPr>
          <w:rFonts w:ascii="Times New Roman" w:eastAsia="Times New Roman" w:hAnsi="Times New Roman" w:cs="Times New Roman"/>
          <w:color w:val="000000"/>
        </w:rPr>
        <w:t>ектора гімназії</w:t>
      </w:r>
      <w:r w:rsidRPr="003C7D76">
        <w:rPr>
          <w:rFonts w:ascii="Times New Roman" w:eastAsia="Times New Roman" w:hAnsi="Times New Roman" w:cs="Times New Roman"/>
          <w:color w:val="000000"/>
        </w:rPr>
        <w:t>;</w:t>
      </w:r>
    </w:p>
    <w:p w:rsidR="00E14ABC" w:rsidRPr="003C7D76" w:rsidRDefault="00A42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зупиняти роботу обладнанн</w:t>
      </w:r>
      <w:r w:rsidRPr="003C7D76">
        <w:rPr>
          <w:rFonts w:ascii="Times New Roman" w:eastAsia="Times New Roman" w:hAnsi="Times New Roman" w:cs="Times New Roman"/>
          <w:color w:val="000000"/>
        </w:rPr>
        <w:t>я та устаткування у разі порушень, які створюють загрозу життю або здоров’ю працівників;</w:t>
      </w:r>
    </w:p>
    <w:p w:rsidR="00E14ABC" w:rsidRPr="003C7D76" w:rsidRDefault="00A42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вимагати відсторонення від роботи осіб, які не пройшли, передбачених законодавством медичного огляду, навчання, інструктажу, перевірки знань і не мають допуску до відп</w:t>
      </w:r>
      <w:r w:rsidRPr="003C7D76">
        <w:rPr>
          <w:rFonts w:ascii="Times New Roman" w:eastAsia="Times New Roman" w:hAnsi="Times New Roman" w:cs="Times New Roman"/>
          <w:color w:val="000000"/>
        </w:rPr>
        <w:t>овідних робіт або не виконують вимоги нормативно-правових актів з охорони праці;</w:t>
      </w:r>
    </w:p>
    <w:p w:rsidR="00E14ABC" w:rsidRPr="003C7D76" w:rsidRDefault="00A42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надсилати директору закладу подання про притягнення до відповідальності працівників, які порушують вимоги щодо охорони праці;</w:t>
      </w:r>
    </w:p>
    <w:p w:rsidR="00E14ABC" w:rsidRPr="003C7D76" w:rsidRDefault="00A42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за поліпшення стану безпеки праці вносити пропози</w:t>
      </w:r>
      <w:r w:rsidRPr="003C7D76">
        <w:rPr>
          <w:rFonts w:ascii="Times New Roman" w:eastAsia="Times New Roman" w:hAnsi="Times New Roman" w:cs="Times New Roman"/>
          <w:color w:val="000000"/>
        </w:rPr>
        <w:t>ції про заохочення працівників за активну працю;</w:t>
      </w:r>
    </w:p>
    <w:p w:rsidR="00E14ABC" w:rsidRPr="003C7D76" w:rsidRDefault="00A425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залучати з</w:t>
      </w:r>
      <w:r w:rsidR="003A632C">
        <w:rPr>
          <w:rFonts w:ascii="Times New Roman" w:eastAsia="Times New Roman" w:hAnsi="Times New Roman" w:cs="Times New Roman"/>
          <w:color w:val="000000"/>
        </w:rPr>
        <w:t>а погодженням з директором гімназії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спеціалістів установи для проведення перевірок стану охорони праці.</w:t>
      </w:r>
    </w:p>
    <w:p w:rsidR="00E14ABC" w:rsidRPr="003C7D76" w:rsidRDefault="00E14AB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E14ABC" w:rsidRPr="003C7D76" w:rsidRDefault="00A425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C7D76">
        <w:rPr>
          <w:rFonts w:ascii="Times New Roman" w:eastAsia="Times New Roman" w:hAnsi="Times New Roman" w:cs="Times New Roman"/>
          <w:b/>
          <w:color w:val="000000"/>
        </w:rPr>
        <w:t>Організація роботи служби охорони праці</w:t>
      </w:r>
    </w:p>
    <w:p w:rsidR="00E14ABC" w:rsidRPr="003C7D76" w:rsidRDefault="00A425F4" w:rsidP="00FE47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Робота служби охорони праці повинна здійснюватися відповідно до плану роботи СОП.</w:t>
      </w:r>
    </w:p>
    <w:p w:rsidR="00E14ABC" w:rsidRPr="003C7D76" w:rsidRDefault="003A632C" w:rsidP="00FE47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Директор гімназії </w:t>
      </w:r>
      <w:r w:rsidR="00A425F4" w:rsidRPr="003C7D76">
        <w:rPr>
          <w:rFonts w:ascii="Times New Roman" w:eastAsia="Times New Roman" w:hAnsi="Times New Roman" w:cs="Times New Roman"/>
          <w:color w:val="000000"/>
        </w:rPr>
        <w:t xml:space="preserve"> забезпечує стимулювання ефективної роботи служби охорони праці.</w:t>
      </w:r>
    </w:p>
    <w:p w:rsidR="00FE47A0" w:rsidRDefault="00A425F4" w:rsidP="00FE47A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Працівники служби охорони праці не можуть залучатися до виконання функцій і завдань, не перед</w:t>
      </w:r>
      <w:r w:rsidRPr="003C7D76">
        <w:rPr>
          <w:rFonts w:ascii="Times New Roman" w:eastAsia="Times New Roman" w:hAnsi="Times New Roman" w:cs="Times New Roman"/>
          <w:color w:val="000000"/>
        </w:rPr>
        <w:t>бачених Законом України "Про охорону праці" ( 2694-12) і Типовим положенням та системою управління ох</w:t>
      </w:r>
      <w:r w:rsidR="009536C3">
        <w:rPr>
          <w:rFonts w:ascii="Times New Roman" w:eastAsia="Times New Roman" w:hAnsi="Times New Roman" w:cs="Times New Roman"/>
          <w:color w:val="000000"/>
        </w:rPr>
        <w:t>ороною праці на підприємстві. (</w:t>
      </w:r>
      <w:r w:rsidRPr="003C7D76">
        <w:rPr>
          <w:rFonts w:ascii="Times New Roman" w:eastAsia="Times New Roman" w:hAnsi="Times New Roman" w:cs="Times New Roman"/>
          <w:color w:val="000000"/>
        </w:rPr>
        <w:t>Пункт 5.5 глави 5 із змінами, внесеними згідно з Наказом Мі</w:t>
      </w:r>
      <w:r w:rsidR="009536C3">
        <w:rPr>
          <w:rFonts w:ascii="Times New Roman" w:eastAsia="Times New Roman" w:hAnsi="Times New Roman" w:cs="Times New Roman"/>
          <w:color w:val="000000"/>
        </w:rPr>
        <w:t>ністерства соціальної політики № 148 (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236-17) від </w:t>
      </w:r>
    </w:p>
    <w:p w:rsidR="00E14ABC" w:rsidRPr="003C7D76" w:rsidRDefault="00FE47A0" w:rsidP="00FE47A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31.01.</w:t>
      </w:r>
      <w:r w:rsidR="00A425F4" w:rsidRPr="003C7D76">
        <w:rPr>
          <w:rFonts w:ascii="Times New Roman" w:eastAsia="Times New Roman" w:hAnsi="Times New Roman" w:cs="Times New Roman"/>
          <w:color w:val="000000"/>
        </w:rPr>
        <w:t>2017</w:t>
      </w:r>
      <w:r w:rsidR="009536C3">
        <w:rPr>
          <w:rFonts w:ascii="Times New Roman" w:eastAsia="Times New Roman" w:hAnsi="Times New Roman" w:cs="Times New Roman"/>
          <w:color w:val="000000"/>
        </w:rPr>
        <w:t>).</w:t>
      </w:r>
    </w:p>
    <w:p w:rsidR="00E14ABC" w:rsidRPr="003C7D76" w:rsidRDefault="00A425F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3C7D76">
        <w:rPr>
          <w:rFonts w:ascii="Times New Roman" w:eastAsia="Times New Roman" w:hAnsi="Times New Roman" w:cs="Times New Roman"/>
          <w:color w:val="000000"/>
        </w:rPr>
        <w:t>Служба охорони праці у своїй роботі взаємодіє з іншими структурними підрозділа</w:t>
      </w:r>
      <w:r w:rsidR="00FE47A0">
        <w:rPr>
          <w:rFonts w:ascii="Times New Roman" w:eastAsia="Times New Roman" w:hAnsi="Times New Roman" w:cs="Times New Roman"/>
          <w:color w:val="000000"/>
        </w:rPr>
        <w:t>ми, службами, працівниками гімназії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та предст</w:t>
      </w:r>
      <w:r w:rsidR="00FE47A0">
        <w:rPr>
          <w:rFonts w:ascii="Times New Roman" w:eastAsia="Times New Roman" w:hAnsi="Times New Roman" w:cs="Times New Roman"/>
          <w:color w:val="000000"/>
        </w:rPr>
        <w:t>авниками трудового колективу</w:t>
      </w:r>
      <w:r w:rsidRPr="003C7D76">
        <w:rPr>
          <w:rFonts w:ascii="Times New Roman" w:eastAsia="Times New Roman" w:hAnsi="Times New Roman" w:cs="Times New Roman"/>
          <w:color w:val="000000"/>
        </w:rPr>
        <w:t xml:space="preserve"> - з питань охорони праці.</w:t>
      </w:r>
    </w:p>
    <w:p w:rsidR="00E14ABC" w:rsidRPr="003C7D76" w:rsidRDefault="00E14ABC">
      <w:pPr>
        <w:jc w:val="both"/>
        <w:rPr>
          <w:rFonts w:ascii="Times New Roman" w:eastAsia="Times New Roman" w:hAnsi="Times New Roman" w:cs="Times New Roman"/>
        </w:rPr>
      </w:pPr>
    </w:p>
    <w:p w:rsidR="00E14ABC" w:rsidRPr="003C7D76" w:rsidRDefault="00E14ABC">
      <w:pPr>
        <w:jc w:val="center"/>
        <w:rPr>
          <w:rFonts w:ascii="Times New Roman" w:eastAsia="Times New Roman" w:hAnsi="Times New Roman" w:cs="Times New Roman"/>
        </w:rPr>
      </w:pPr>
    </w:p>
    <w:p w:rsidR="009536C3" w:rsidRDefault="009536C3">
      <w:pPr>
        <w:ind w:firstLine="6663"/>
        <w:jc w:val="both"/>
        <w:rPr>
          <w:rFonts w:ascii="Times New Roman" w:eastAsia="Times New Roman" w:hAnsi="Times New Roman" w:cs="Times New Roman"/>
        </w:rPr>
      </w:pPr>
    </w:p>
    <w:p w:rsidR="009536C3" w:rsidRDefault="009536C3">
      <w:pPr>
        <w:ind w:firstLine="6663"/>
        <w:jc w:val="both"/>
        <w:rPr>
          <w:rFonts w:ascii="Times New Roman" w:eastAsia="Times New Roman" w:hAnsi="Times New Roman" w:cs="Times New Roman"/>
        </w:rPr>
      </w:pPr>
    </w:p>
    <w:p w:rsidR="009536C3" w:rsidRDefault="009536C3">
      <w:pPr>
        <w:ind w:firstLine="6663"/>
        <w:jc w:val="both"/>
        <w:rPr>
          <w:rFonts w:ascii="Times New Roman" w:eastAsia="Times New Roman" w:hAnsi="Times New Roman" w:cs="Times New Roman"/>
        </w:rPr>
      </w:pPr>
    </w:p>
    <w:p w:rsidR="009536C3" w:rsidRDefault="009536C3">
      <w:pPr>
        <w:ind w:firstLine="6663"/>
        <w:jc w:val="both"/>
        <w:rPr>
          <w:rFonts w:ascii="Times New Roman" w:eastAsia="Times New Roman" w:hAnsi="Times New Roman" w:cs="Times New Roman"/>
        </w:rPr>
      </w:pPr>
    </w:p>
    <w:p w:rsidR="009536C3" w:rsidRDefault="009536C3">
      <w:pPr>
        <w:ind w:firstLine="6663"/>
        <w:jc w:val="both"/>
        <w:rPr>
          <w:rFonts w:ascii="Times New Roman" w:eastAsia="Times New Roman" w:hAnsi="Times New Roman" w:cs="Times New Roman"/>
        </w:rPr>
      </w:pPr>
    </w:p>
    <w:p w:rsidR="009536C3" w:rsidRDefault="009536C3">
      <w:pPr>
        <w:ind w:firstLine="6663"/>
        <w:jc w:val="both"/>
        <w:rPr>
          <w:rFonts w:ascii="Times New Roman" w:eastAsia="Times New Roman" w:hAnsi="Times New Roman" w:cs="Times New Roman"/>
        </w:rPr>
      </w:pPr>
    </w:p>
    <w:p w:rsidR="009536C3" w:rsidRDefault="009536C3">
      <w:pPr>
        <w:ind w:firstLine="6663"/>
        <w:jc w:val="both"/>
        <w:rPr>
          <w:rFonts w:ascii="Times New Roman" w:eastAsia="Times New Roman" w:hAnsi="Times New Roman" w:cs="Times New Roman"/>
        </w:rPr>
      </w:pPr>
    </w:p>
    <w:p w:rsidR="009536C3" w:rsidRDefault="009536C3">
      <w:pPr>
        <w:ind w:firstLine="6663"/>
        <w:jc w:val="both"/>
        <w:rPr>
          <w:rFonts w:ascii="Times New Roman" w:eastAsia="Times New Roman" w:hAnsi="Times New Roman" w:cs="Times New Roman"/>
        </w:rPr>
      </w:pPr>
    </w:p>
    <w:p w:rsidR="009536C3" w:rsidRDefault="009536C3">
      <w:pPr>
        <w:ind w:firstLine="6663"/>
        <w:jc w:val="both"/>
        <w:rPr>
          <w:rFonts w:ascii="Times New Roman" w:eastAsia="Times New Roman" w:hAnsi="Times New Roman" w:cs="Times New Roman"/>
        </w:rPr>
      </w:pPr>
    </w:p>
    <w:sectPr w:rsidR="009536C3">
      <w:headerReference w:type="even" r:id="rId8"/>
      <w:headerReference w:type="default" r:id="rId9"/>
      <w:pgSz w:w="11909" w:h="16838"/>
      <w:pgMar w:top="1134" w:right="567" w:bottom="1134" w:left="1701" w:header="0" w:footer="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F4" w:rsidRDefault="00A425F4">
      <w:r>
        <w:separator/>
      </w:r>
    </w:p>
  </w:endnote>
  <w:endnote w:type="continuationSeparator" w:id="0">
    <w:p w:rsidR="00A425F4" w:rsidRDefault="00A4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F4" w:rsidRDefault="00A425F4">
      <w:r>
        <w:separator/>
      </w:r>
    </w:p>
  </w:footnote>
  <w:footnote w:type="continuationSeparator" w:id="0">
    <w:p w:rsidR="00A425F4" w:rsidRDefault="00A42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BC" w:rsidRDefault="00A425F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13CD0C1" wp14:editId="3521458B">
              <wp:simplePos x="0" y="0"/>
              <wp:positionH relativeFrom="page">
                <wp:posOffset>4002722</wp:posOffset>
              </wp:positionH>
              <wp:positionV relativeFrom="page">
                <wp:posOffset>263208</wp:posOffset>
              </wp:positionV>
              <wp:extent cx="70485" cy="147955"/>
              <wp:effectExtent l="0" t="0" r="0" b="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5520" y="3710785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4ABC" w:rsidRDefault="00A425F4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9"/>
                            </w:rPr>
                            <w:t xml:space="preserve"> PAGE \* MERGEFORMAT #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4" o:spid="_x0000_s1026" style="position:absolute;margin-left:315.15pt;margin-top:20.75pt;width:5.55pt;height:11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" filled="f" stroked="f">
              <v:textbox inset="0,0,0,0">
                <w:txbxContent>
                  <w:p w:rsidR="00E14ABC" w:rsidRDefault="00A425F4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9"/>
                      </w:rPr>
                      <w:t xml:space="preserve"> PAGE \* MERGEFORMAT #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ABC" w:rsidRDefault="00A425F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875BFA2" wp14:editId="38459766">
              <wp:simplePos x="0" y="0"/>
              <wp:positionH relativeFrom="page">
                <wp:posOffset>4103688</wp:posOffset>
              </wp:positionH>
              <wp:positionV relativeFrom="page">
                <wp:posOffset>226378</wp:posOffset>
              </wp:positionV>
              <wp:extent cx="70485" cy="147955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5520" y="3710785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14ABC" w:rsidRDefault="00A425F4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2" o:spid="_x0000_s1027" style="position:absolute;margin-left:323.15pt;margin-top:17.85pt;width:5.55pt;height:11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" filled="f" stroked="f">
              <v:textbox inset="0,0,0,0">
                <w:txbxContent>
                  <w:p w:rsidR="00E14ABC" w:rsidRDefault="00A425F4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B83"/>
    <w:multiLevelType w:val="multilevel"/>
    <w:tmpl w:val="45125382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3E165C"/>
    <w:multiLevelType w:val="multilevel"/>
    <w:tmpl w:val="F7786636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AC301AC"/>
    <w:multiLevelType w:val="multilevel"/>
    <w:tmpl w:val="830E5562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C055CF"/>
    <w:multiLevelType w:val="multilevel"/>
    <w:tmpl w:val="7A86EBE6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16F49B6"/>
    <w:multiLevelType w:val="multilevel"/>
    <w:tmpl w:val="2530F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43E75C4"/>
    <w:multiLevelType w:val="multilevel"/>
    <w:tmpl w:val="7938EA64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4ABC"/>
    <w:rsid w:val="003A632C"/>
    <w:rsid w:val="003C7D76"/>
    <w:rsid w:val="008D05C4"/>
    <w:rsid w:val="009536C3"/>
    <w:rsid w:val="00A425F4"/>
    <w:rsid w:val="00A57B73"/>
    <w:rsid w:val="00E14ABC"/>
    <w:rsid w:val="00FE47A0"/>
    <w:rsid w:val="00FE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0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05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7585</Words>
  <Characters>4325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2024-04-11T12:41:00Z</cp:lastPrinted>
  <dcterms:created xsi:type="dcterms:W3CDTF">2024-04-11T08:14:00Z</dcterms:created>
  <dcterms:modified xsi:type="dcterms:W3CDTF">2024-04-11T12:42:00Z</dcterms:modified>
</cp:coreProperties>
</file>