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33" w:rsidRPr="001F1833" w:rsidRDefault="001F1833" w:rsidP="001F1833">
      <w:pPr>
        <w:jc w:val="center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ДУБЕЧНЕНСЬКА СІЛЬСЬКА РАДА</w:t>
      </w:r>
    </w:p>
    <w:p w:rsidR="001F1833" w:rsidRPr="001F1833" w:rsidRDefault="001F1833" w:rsidP="001F1833">
      <w:pPr>
        <w:jc w:val="center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ГІМНАЗІЯ СЕЛА ТЕКЛЯ</w:t>
      </w:r>
    </w:p>
    <w:p w:rsidR="001F1833" w:rsidRPr="001F1833" w:rsidRDefault="001F1833" w:rsidP="001F1833">
      <w:pPr>
        <w:rPr>
          <w:color w:val="000000"/>
          <w:sz w:val="24"/>
          <w:szCs w:val="24"/>
        </w:rPr>
      </w:pPr>
    </w:p>
    <w:p w:rsidR="001F1833" w:rsidRPr="001F1833" w:rsidRDefault="001F1833" w:rsidP="001F1833">
      <w:pPr>
        <w:ind w:left="7655" w:hanging="232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ЗАТВЕРДЖЕНО</w:t>
      </w:r>
    </w:p>
    <w:p w:rsidR="001F1833" w:rsidRPr="001F1833" w:rsidRDefault="001F1833" w:rsidP="001F1833">
      <w:pPr>
        <w:ind w:left="7655" w:hanging="232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Наказ директора</w:t>
      </w:r>
    </w:p>
    <w:p w:rsidR="001F1833" w:rsidRPr="001F1833" w:rsidRDefault="001F1833" w:rsidP="001F1833">
      <w:pPr>
        <w:ind w:left="7655" w:hanging="232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гімназії села Текля</w:t>
      </w:r>
    </w:p>
    <w:p w:rsidR="001F1833" w:rsidRPr="001F1833" w:rsidRDefault="001F1833" w:rsidP="001F1833">
      <w:pPr>
        <w:ind w:left="7655" w:hanging="232"/>
        <w:rPr>
          <w:color w:val="000000"/>
          <w:sz w:val="24"/>
          <w:szCs w:val="24"/>
        </w:rPr>
      </w:pPr>
      <w:r w:rsidRPr="001F1833">
        <w:rPr>
          <w:color w:val="000000"/>
          <w:sz w:val="24"/>
          <w:szCs w:val="24"/>
        </w:rPr>
        <w:t>20.03.2024 №23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6FC0" w:rsidRDefault="008761E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ПОЛОЖЕННЯ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 розробку інструкцій з охорони праці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 безпеки життєдіяльності</w:t>
      </w:r>
    </w:p>
    <w:p w:rsidR="001F1833" w:rsidRDefault="001F1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Загальні положення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Положення встановлює вимоги до змісту, побудови і викладу інструкцій з охорони праці, визначає порядок опрацювання та введення в дію нових, перегляду та скасуванню чинних інструкцій.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Вимоги цього Положення є обов’язковими для всіх працівн</w:t>
      </w:r>
      <w:r w:rsidR="001F1833">
        <w:rPr>
          <w:color w:val="000000"/>
          <w:sz w:val="24"/>
          <w:szCs w:val="24"/>
        </w:rPr>
        <w:t>иків Гімназії села Текля.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Інструкція є нормативним актом, що містить обов’язкові для дотримання працівниками вимог з охорони праці при виконанні ними робіт певного виду або за певною профе</w:t>
      </w:r>
      <w:r>
        <w:rPr>
          <w:color w:val="000000"/>
          <w:sz w:val="24"/>
          <w:szCs w:val="24"/>
        </w:rPr>
        <w:t>сією на робочих місцях, у виробничих приміщеннях, на території закладу та в місцях, де перебувають працівники гімназії  під час виконання ними своїх службових обов’язків або в інших місцях, де за дорученням директора, його заступників виконуються трудові ч</w:t>
      </w:r>
      <w:r>
        <w:rPr>
          <w:color w:val="000000"/>
          <w:sz w:val="24"/>
          <w:szCs w:val="24"/>
        </w:rPr>
        <w:t>и службові обов’язки.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1F1833">
        <w:rPr>
          <w:color w:val="000000"/>
          <w:sz w:val="24"/>
          <w:szCs w:val="24"/>
        </w:rPr>
        <w:t>.3. Інструкції, що діють у гімназії</w:t>
      </w:r>
      <w:r>
        <w:rPr>
          <w:color w:val="000000"/>
          <w:sz w:val="24"/>
          <w:szCs w:val="24"/>
        </w:rPr>
        <w:t>, належать до нормативних актів про охорону праці, чинних у межах закладу освіти. Інструкції розробляються на основі чинних державних міжгалузевих і галузевих нормативних актів про охорону праці, примі</w:t>
      </w:r>
      <w:r>
        <w:rPr>
          <w:color w:val="000000"/>
          <w:sz w:val="24"/>
          <w:szCs w:val="24"/>
        </w:rPr>
        <w:t>рних інструкцій та технологічної документації з урахуванням конкретних умов виробництва та вимог безпеки, викладених в експлуатаційній та ремонтній документації підприємств-виготовлювачів обладнання, що використовується у закладі. Вони затверджуються дирек</w:t>
      </w:r>
      <w:r>
        <w:rPr>
          <w:color w:val="000000"/>
          <w:sz w:val="24"/>
          <w:szCs w:val="24"/>
        </w:rPr>
        <w:t>тором ліцею і є обов’язковими для дотримання працівниками відповідних професій або при виконанні відповідних робіт у закладі.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Інструкції повинні відповідати чинному законодавству України, вимогам державних міжгалузевих і галузевих нормативних актів пр</w:t>
      </w:r>
      <w:r>
        <w:rPr>
          <w:color w:val="000000"/>
          <w:sz w:val="24"/>
          <w:szCs w:val="24"/>
        </w:rPr>
        <w:t>о охорону праці: правил, норм, стандартів, інших нормативних і організаційно-методичних документів про охорону праці, на основі яких вони розробляються.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Інструкції повинні містити тільки ті вимоги щодо охорони праці, дотримання яких обов’язкове самими</w:t>
      </w:r>
      <w:r>
        <w:rPr>
          <w:color w:val="000000"/>
          <w:sz w:val="24"/>
          <w:szCs w:val="24"/>
        </w:rPr>
        <w:t xml:space="preserve"> працівниками. Порушення працівником цих вимог повинно розглядатися як порушення трудової дисципліни, за яке до нього може бути застосовано стягнення згідно з чинним законодавством.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Організація вивчення інструкцій працівниками забезпечується керівника</w:t>
      </w:r>
      <w:r>
        <w:rPr>
          <w:color w:val="000000"/>
          <w:sz w:val="24"/>
          <w:szCs w:val="24"/>
        </w:rPr>
        <w:t>ми структурних підрозділів, керівником служби охорони праці та комісією з навчання та перевірки знань з охорони праці згідно “Положення про навчання, інструктаж і перевірку знань з питань охорони праці”, розроблене та затверджене у закладі освіти.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Пос</w:t>
      </w:r>
      <w:r>
        <w:rPr>
          <w:color w:val="000000"/>
          <w:sz w:val="24"/>
          <w:szCs w:val="24"/>
        </w:rPr>
        <w:t>тійний контроль за додержанням працівниками інструкцій з охорони праці покладається на керівників робіт.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Громадський контроль за додержанням всіма працівниками вимог інструкцій здійснюють: директор закладу освіт</w:t>
      </w:r>
      <w:r w:rsidR="001F1833">
        <w:rPr>
          <w:color w:val="000000"/>
          <w:sz w:val="24"/>
          <w:szCs w:val="24"/>
        </w:rPr>
        <w:t>и, голова трудового колективу</w:t>
      </w:r>
      <w:r>
        <w:rPr>
          <w:color w:val="000000"/>
          <w:sz w:val="24"/>
          <w:szCs w:val="24"/>
        </w:rPr>
        <w:t>, керів</w:t>
      </w:r>
      <w:r>
        <w:rPr>
          <w:color w:val="000000"/>
          <w:sz w:val="24"/>
          <w:szCs w:val="24"/>
        </w:rPr>
        <w:t>ник служби охорони праці та комісія з питань охорони праці.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Зміст і побудова інструкцій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Кожній інструкції присвоюється назва, порядковий номер.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Реєстрацію інструкцій здійснює керівник служби охорони праці.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назві інструкції стисло вказується, для якої професії або виду робіт вона призначена.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Включенню до інструкції підлягають загальні положення щодо охорони праці та організаційні і технічні вимоги безпеки, що визначаються на основі: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чинного законода</w:t>
      </w:r>
      <w:r>
        <w:rPr>
          <w:color w:val="000000"/>
          <w:sz w:val="24"/>
          <w:szCs w:val="24"/>
        </w:rPr>
        <w:t>вства України про працю та охорону праці, стандартів, правил, норм та інших нормативних і організаційно-методичних документів про охорону праці;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аналізу документів з охорони праці стосовно відповідного виду робіт або професії;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характеристики робіт, що </w:t>
      </w:r>
      <w:r>
        <w:rPr>
          <w:color w:val="000000"/>
          <w:sz w:val="24"/>
          <w:szCs w:val="24"/>
        </w:rPr>
        <w:t>підлягають виконанню працівником конкретної професії у відповідності з її кваліфікаційною характеристикою;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вимог безпеки до технологічного процесу, виробничого обладнання, інструментів і пристроїв, що застосовуються при виконанні робіт, а також вимог б</w:t>
      </w:r>
      <w:r>
        <w:rPr>
          <w:color w:val="000000"/>
          <w:sz w:val="24"/>
          <w:szCs w:val="24"/>
        </w:rPr>
        <w:t>езпеки, що містяться в експлуатаційній та ремонтній документації і в технологічному регламенті;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виявлення небезпечних і шкідливих виробничих факторів, характерних для даної професії (виду робіт) як при нормальному протіканні процесу, так і при відхиленн</w:t>
      </w:r>
      <w:r>
        <w:rPr>
          <w:color w:val="000000"/>
          <w:sz w:val="24"/>
          <w:szCs w:val="24"/>
        </w:rPr>
        <w:t>ях від оптимального режиму, визначення заходів та засобів захисту від них, вивчення конструктивних та експлуатаційних особливостей і ефективності використання цих засобів;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аналізу обставин та причин найбільш імовірних аварійних ситуацій, нещасних випадків та професійних захворювань, характерних для даної професії (виду робіт);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вивчення передового досвіду безпечної організації праці та виконання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відповідних робіт, визначення найбезпечніших методів та прийомів їх виконання.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Вимоги інструкцій викладаються відповідно до послідовності технологічного процесу і з урахуванням умов, у яких виконується даний вид робіт.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Інструкції повинні містити </w:t>
      </w:r>
      <w:r>
        <w:rPr>
          <w:color w:val="000000"/>
          <w:sz w:val="24"/>
          <w:szCs w:val="24"/>
        </w:rPr>
        <w:t>такі розділи: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Загальні положення;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безпеки перед початком роботи;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безпеки під час виконання роботи;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безпеки після закінчення роботи;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безпеки в аварійних ситуаціях.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необхідності в інструкціях можна включити й інші роз</w:t>
      </w:r>
      <w:r>
        <w:rPr>
          <w:color w:val="000000"/>
          <w:sz w:val="24"/>
          <w:szCs w:val="24"/>
        </w:rPr>
        <w:t>діли.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Наприклад, у примірних інструкціях може бути передбачений “Вступ”, у якому відображаються відповідні положення законодавства України про працю, вказівки щодо порядку внесення змін і доповнень до цих інструкцій тощо.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розміщення матеріалів, які доп</w:t>
      </w:r>
      <w:r>
        <w:rPr>
          <w:color w:val="000000"/>
          <w:sz w:val="24"/>
          <w:szCs w:val="24"/>
        </w:rPr>
        <w:t>овнюють основну частину інструкцій, ілюструють чи конкретизують її окремі вимоги, може бути включений розділ “Додатки”. У цьому розділі можна навести перелік нормативних актів, на підставі яких розроблено інструкцію.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Розділ “Загальні положення” повине</w:t>
      </w:r>
      <w:r>
        <w:rPr>
          <w:color w:val="000000"/>
          <w:sz w:val="24"/>
          <w:szCs w:val="24"/>
        </w:rPr>
        <w:t>н містити: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відомості про сферу застосування інструкції;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загальні відомості про об’єкт розробки: визначення робочого місця працівника даної професії (виду робіт) в залежності від тривалості його перебування на ньому протягом зміни (постійне чи непостійне); коротка характеристика технологічного процесу та облад</w:t>
      </w:r>
      <w:r>
        <w:rPr>
          <w:color w:val="000000"/>
          <w:sz w:val="24"/>
          <w:szCs w:val="24"/>
        </w:rPr>
        <w:t>нання, що застосовується на цьому робочому місці;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умови і порядок допуску працівників до самостійної роботи за професією або до виконання відповідного виду робіт (вимоги щодо віку, стажу роботи, статі, стану здоров’я, проходження медоглядів, професійної </w:t>
      </w:r>
      <w:r>
        <w:rPr>
          <w:color w:val="000000"/>
          <w:sz w:val="24"/>
          <w:szCs w:val="24"/>
        </w:rPr>
        <w:t>освіти та спеціального навчання з питань охорони праці, інструктажів, перевірки знань тощо);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правил внутрішнього трудового розпорядку, що стосуються питань охорони праці для даного виду робіт або професії, а також відомості про специфічні особливо</w:t>
      </w:r>
      <w:r>
        <w:rPr>
          <w:color w:val="000000"/>
          <w:sz w:val="24"/>
          <w:szCs w:val="24"/>
        </w:rPr>
        <w:t>сті організації праці і технологічних процесів та про коло трудових обов’язків працівників даної професії (що виконують даний вид робіт);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характеристику основних небезпечних та шкідливих виробничих факторів для даної професії (виду робіт), особливості їх</w:t>
      </w:r>
      <w:r>
        <w:rPr>
          <w:color w:val="000000"/>
          <w:sz w:val="24"/>
          <w:szCs w:val="24"/>
        </w:rPr>
        <w:t xml:space="preserve"> впливу на працівника;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перелік видів спецодягу, спецвзуття та інших засобів індивідуального захисту, що належать до видачі працівникам даної професії (види робіт) згідно з чинними нормами, із зазначенням стандартів або технічних умов на них;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сан</w:t>
      </w:r>
      <w:r>
        <w:rPr>
          <w:color w:val="000000"/>
          <w:sz w:val="24"/>
          <w:szCs w:val="24"/>
        </w:rPr>
        <w:t>ітарних норм і правил особистої гігієни, яких повинен дотримуватись працівник під час виконання роботи.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Розділ “Вимоги безпеки перед початком роботи” повинен містити: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приймання зміни у випадку порушення режиму роботи обладнання, машин та мех</w:t>
      </w:r>
      <w:r>
        <w:rPr>
          <w:color w:val="000000"/>
          <w:sz w:val="24"/>
          <w:szCs w:val="24"/>
        </w:rPr>
        <w:t>анізмів;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Порядок підготовки робочого місця, засобів індивідуального захисту;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Порядок перевірки справності обладнання, інструменту, систем вентиляції та освітлення, первинних засобів </w:t>
      </w:r>
      <w:proofErr w:type="spellStart"/>
      <w:r>
        <w:rPr>
          <w:color w:val="000000"/>
          <w:sz w:val="24"/>
          <w:szCs w:val="24"/>
        </w:rPr>
        <w:t>пожежегасіння</w:t>
      </w:r>
      <w:proofErr w:type="spellEnd"/>
      <w:r>
        <w:rPr>
          <w:color w:val="000000"/>
          <w:sz w:val="24"/>
          <w:szCs w:val="24"/>
        </w:rPr>
        <w:t>, виявлення видимих пошкоджень захисного заземлення (зан</w:t>
      </w:r>
      <w:r>
        <w:rPr>
          <w:color w:val="000000"/>
          <w:sz w:val="24"/>
          <w:szCs w:val="24"/>
        </w:rPr>
        <w:t>улення) тощо;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Порядок повідомлення керівників установи про виявлені несправності обладнання, пристроїв, пристосувань, інструменту, засобів захисту тощо.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Розділ “Вимоги безпеки під час роботи” повинен містити: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Відомості щодо безпечної організації </w:t>
      </w:r>
      <w:r>
        <w:rPr>
          <w:color w:val="000000"/>
          <w:sz w:val="24"/>
          <w:szCs w:val="24"/>
        </w:rPr>
        <w:t>праці, про прийоми та методи безпечного використання робіт, правила використання  обладнання виконкому, а також застереження  про можливі небезпечні, неправильні методи та прийоми праці, які заборонено застосовувати;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Правила безпечної експлуатації механі</w:t>
      </w:r>
      <w:r>
        <w:rPr>
          <w:color w:val="000000"/>
          <w:sz w:val="24"/>
          <w:szCs w:val="24"/>
        </w:rPr>
        <w:t>змів та устаткування;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Вказівки щодо порядку утримання робочого місця в безпечному стані;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Можливі види небезпечних відхилень від нормального режиму роботи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обладнання  і способи їх усунення;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Вимоги щодо використання засобів індивідуального та колективного захисту від шкідливих і небезпечних виробничих факторів;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Умови, за яких робота повинна бути припинена (технічні, метеорологічні,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санітарно-гігієнічні тощо);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Вимоги щодо забезпечення </w:t>
      </w:r>
      <w:proofErr w:type="spellStart"/>
      <w:r>
        <w:rPr>
          <w:color w:val="000000"/>
          <w:sz w:val="24"/>
          <w:szCs w:val="24"/>
        </w:rPr>
        <w:t>пож</w:t>
      </w:r>
      <w:r>
        <w:rPr>
          <w:color w:val="000000"/>
          <w:sz w:val="24"/>
          <w:szCs w:val="24"/>
        </w:rPr>
        <w:t>ежо</w:t>
      </w:r>
      <w:proofErr w:type="spellEnd"/>
      <w:r>
        <w:rPr>
          <w:color w:val="000000"/>
          <w:sz w:val="24"/>
          <w:szCs w:val="24"/>
        </w:rPr>
        <w:t xml:space="preserve">- та </w:t>
      </w:r>
      <w:proofErr w:type="spellStart"/>
      <w:r>
        <w:rPr>
          <w:color w:val="000000"/>
          <w:sz w:val="24"/>
          <w:szCs w:val="24"/>
        </w:rPr>
        <w:t>вибухобезпеки</w:t>
      </w:r>
      <w:proofErr w:type="spellEnd"/>
      <w:r>
        <w:rPr>
          <w:color w:val="000000"/>
          <w:sz w:val="24"/>
          <w:szCs w:val="24"/>
        </w:rPr>
        <w:t>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Порядок повідомлення керівників виконкому про нещасні випадки чи раптові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захворювання, факти порушення виробничого процесу, виявлені несправності обладнання, устаткування, пристроїв, інструменту, засобів захисту та про інші небезп</w:t>
      </w:r>
      <w:r>
        <w:rPr>
          <w:color w:val="000000"/>
          <w:sz w:val="24"/>
          <w:szCs w:val="24"/>
        </w:rPr>
        <w:t>ечні та шкідливі виробничі фактори, що загрожують життю і здоров’ю працівників.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Розділ “Вимоги безпеки після закінчення роботи” повинен містити: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безпечного вимикання, зупинення, розбирання, очищення і змащення обладнання, пристроїв, машин, м</w:t>
      </w:r>
      <w:r>
        <w:rPr>
          <w:color w:val="000000"/>
          <w:sz w:val="24"/>
          <w:szCs w:val="24"/>
        </w:rPr>
        <w:t>еханізмів та апаратури;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Порядок прибирання робочого місця;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Вимоги санітарних норм і правил особисто гігієни, який повинен дотримуватись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працівник після закінчення роботи;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повідомлення керівників ліцею про всі недоліки, що виявились у процесі роботи.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2.9. Розділ “Вимоги безпеки в аварійних ситуаціях” повинен містити: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Відомості про ознаки аварійних ситуацій, характерні причини аварій (вибухів,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пожеж тощо);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Відо</w:t>
      </w:r>
      <w:r>
        <w:rPr>
          <w:color w:val="000000"/>
          <w:sz w:val="24"/>
          <w:szCs w:val="24"/>
        </w:rPr>
        <w:t>мості про засоби та дії, спрямовані на запобігання можливим аваріям;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дій, особисті обов’язки та правила поведінки працівника при виникненні аварії згідно з планом її ліквідації;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повідомлення керівників закладу про аварії та ситуації, що</w:t>
      </w:r>
      <w:r>
        <w:rPr>
          <w:color w:val="000000"/>
          <w:sz w:val="24"/>
          <w:szCs w:val="24"/>
        </w:rPr>
        <w:t xml:space="preserve"> можуть до них призвести;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Відомості про порядок застосування засобів проти аварійного захисту та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сигналізації;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дій щодо подання першої медичної допомоги потерпілим під час аварії.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 Викладення тексту інструкцій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викладенні тексту інструкцій слід керуватися такими правилами: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Текст інструкції повинен бути стислим, зрозумілим і не допускати різних тлумачень;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Інструкція не повинна містити посилань на нормативні акти, вимоги яких враховуються при її розробці. За необхідності ці вимоги відтворюються дослівно;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Слід вживати терміни і визначення, прийняті в Законі України “Про охорону праці”, ДСТУ 2293: 2014 ССБ</w:t>
      </w:r>
      <w:r>
        <w:rPr>
          <w:color w:val="000000"/>
          <w:sz w:val="24"/>
          <w:szCs w:val="24"/>
        </w:rPr>
        <w:t>П «Охорона праці». Терміни та визначення”, ДК 003: 2010 “Національний класифікатор України. Класифікатор професій” та в інших нормативних актах;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 тексті інструкції не допускається застосування не властивих для нормативних актів зворотів розмовної мови, </w:t>
      </w:r>
      <w:r>
        <w:rPr>
          <w:color w:val="000000"/>
          <w:sz w:val="24"/>
          <w:szCs w:val="24"/>
        </w:rPr>
        <w:t>довільних словосполучень, скорочення слів, використання різних термінів для одного поняття, а також іноземних слів чи  термінів за наявності рівнозначних слів чи термінів в українській мові; допускається застосування лише загальноприйнятих скорочень і абре</w:t>
      </w:r>
      <w:r>
        <w:rPr>
          <w:color w:val="000000"/>
          <w:sz w:val="24"/>
          <w:szCs w:val="24"/>
        </w:rPr>
        <w:t>віатур, а також заміна застосованих у даній інструкції словосполучень скороченням або абревіатурою за умови повного відтворення цього словосполучення при першому згадуванні в тексті із зазначенням у дужках відповідного скорочення чи абревіатури;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 тексті</w:t>
      </w:r>
      <w:r>
        <w:rPr>
          <w:color w:val="000000"/>
          <w:sz w:val="24"/>
          <w:szCs w:val="24"/>
        </w:rPr>
        <w:t xml:space="preserve"> інструкції слід уникати викладу вимог у формі заборони, а при необхідності слід давати пояснення, чим викликана заборона; не повинні застосовуватися слова “Категорично”, “Особливо”, “Обов’язково", "Суворо» та ін., оскільки всі вимоги інструкції є однаково</w:t>
      </w:r>
      <w:r>
        <w:rPr>
          <w:color w:val="000000"/>
          <w:sz w:val="24"/>
          <w:szCs w:val="24"/>
        </w:rPr>
        <w:t xml:space="preserve"> обов’язковими;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наочності окремі вимоги інструкції можуть бути ілюстровані малюнками, схемами, кресленнями тощо;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Якщо безпека роботи обумовлена певними нормами (величини відстаней, напруги та ін.), то вони повинні бути наведені в інструкції.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</w:t>
      </w:r>
      <w:r>
        <w:rPr>
          <w:b/>
          <w:color w:val="000000"/>
          <w:sz w:val="24"/>
          <w:szCs w:val="24"/>
        </w:rPr>
        <w:t>орядок розробки, затвердження та введення інструкцій в дію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Розробка, затвердження та введення в дію інструкцій.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4.1.1. Розробка, узгодження і затвердження інструкцій, що ді</w:t>
      </w:r>
      <w:r w:rsidR="008E5516">
        <w:rPr>
          <w:color w:val="000000"/>
          <w:sz w:val="24"/>
          <w:szCs w:val="24"/>
        </w:rPr>
        <w:t>ють у гімназії</w:t>
      </w:r>
      <w:bookmarkStart w:id="0" w:name="_GoBack"/>
      <w:bookmarkEnd w:id="0"/>
      <w:r>
        <w:rPr>
          <w:color w:val="000000"/>
          <w:sz w:val="24"/>
          <w:szCs w:val="24"/>
        </w:rPr>
        <w:t>, здійснюються згідно з ДНАОП 0.00-8.03-93 “Пор</w:t>
      </w:r>
      <w:r>
        <w:rPr>
          <w:color w:val="000000"/>
          <w:sz w:val="24"/>
          <w:szCs w:val="24"/>
        </w:rPr>
        <w:t>ядок опрацювання і затвердження власником нормативних актів, що діють на підприємстві”, Положення про розробку інструкцій з охорони праці, затвердженого наказом Міністерства праці та соціальної політи</w:t>
      </w:r>
      <w:r w:rsidR="001F1833">
        <w:rPr>
          <w:color w:val="000000"/>
          <w:sz w:val="24"/>
          <w:szCs w:val="24"/>
        </w:rPr>
        <w:t>ки України від 29.01.1998  № 9 (</w:t>
      </w:r>
      <w:r>
        <w:rPr>
          <w:color w:val="000000"/>
          <w:sz w:val="24"/>
          <w:szCs w:val="24"/>
        </w:rPr>
        <w:t>Із змінами, внесеними зг</w:t>
      </w:r>
      <w:r>
        <w:rPr>
          <w:color w:val="000000"/>
          <w:sz w:val="24"/>
          <w:szCs w:val="24"/>
        </w:rPr>
        <w:t xml:space="preserve">ідно з Наказом Міністерства соціальної політики </w:t>
      </w:r>
      <w:hyperlink r:id="rId7" w:anchor="n2">
        <w:r>
          <w:rPr>
            <w:color w:val="000000"/>
            <w:sz w:val="24"/>
            <w:szCs w:val="24"/>
          </w:rPr>
          <w:t>№ 526 від 30.03.2017</w:t>
        </w:r>
      </w:hyperlink>
      <w:r w:rsidR="001F1833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і з урахуванням вимог даного Положення.</w:t>
      </w:r>
      <w:r>
        <w:rPr>
          <w:b/>
          <w:color w:val="333333"/>
          <w:sz w:val="32"/>
          <w:szCs w:val="32"/>
          <w:highlight w:val="white"/>
        </w:rPr>
        <w:t xml:space="preserve"> 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4.1.2. Керівник служби охорони праці розробляє до 15 січня поточного року</w:t>
      </w:r>
      <w:r>
        <w:rPr>
          <w:color w:val="000000"/>
          <w:sz w:val="24"/>
          <w:szCs w:val="24"/>
        </w:rPr>
        <w:t xml:space="preserve"> перелік інструкцій з охорони праці на підставі затвердженого штатного розпису у відповідності з ДК 003: 2010 «Національний класифікатор України. Класифікатор професій».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Цей перелік, а також зміни чи доповнення до нього в разі зміни назви професії, впровадження нових видів робіт чи професій з</w:t>
      </w:r>
      <w:r w:rsidR="001F1833">
        <w:rPr>
          <w:color w:val="000000"/>
          <w:sz w:val="24"/>
          <w:szCs w:val="24"/>
        </w:rPr>
        <w:t>атверджується директором  і керівник служби охорони пра</w:t>
      </w:r>
      <w:r>
        <w:rPr>
          <w:color w:val="000000"/>
          <w:sz w:val="24"/>
          <w:szCs w:val="24"/>
        </w:rPr>
        <w:t>ці розсилає структурним підрозділам закладу.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4.1.3. Загальне керівництв</w:t>
      </w:r>
      <w:r>
        <w:rPr>
          <w:color w:val="000000"/>
          <w:sz w:val="24"/>
          <w:szCs w:val="24"/>
        </w:rPr>
        <w:t>о розробкою (переглядом) інструкцій у закладі освіти покладається на керівника служби охорони праці.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4.1.4 Розробка (перегляд) необхідних інструкцій, що діють у ліцеї, здійснюється безпосередніми керівниками робіт - керівниками структурних підрозділів, які</w:t>
      </w:r>
      <w:r>
        <w:rPr>
          <w:color w:val="000000"/>
          <w:sz w:val="24"/>
          <w:szCs w:val="24"/>
        </w:rPr>
        <w:t xml:space="preserve"> несуть відповідальність за своєчасне виконання цієї роботи. Термін розробки 1 місяць. Він може бути збільшений за домовленістю з директором закладу.</w:t>
      </w:r>
    </w:p>
    <w:p w:rsidR="00F26FC0" w:rsidRDefault="001F18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Інструкції, що діють у гімназії</w:t>
      </w:r>
      <w:r w:rsidR="008761E5">
        <w:rPr>
          <w:color w:val="000000"/>
          <w:sz w:val="24"/>
          <w:szCs w:val="24"/>
        </w:rPr>
        <w:t>, розробляються відповідно до переліку інструкцій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4.1.5 Здійснення системати</w:t>
      </w:r>
      <w:r>
        <w:rPr>
          <w:color w:val="000000"/>
          <w:sz w:val="24"/>
          <w:szCs w:val="24"/>
        </w:rPr>
        <w:t>чного контролю за своєчасною розробкою нових та відповідність діючих в установі інструкцій вимогам законодавства, їх періодичним переглядом та своєчасним внесенням змін і доповнень до них, подання відповідної методичної допомоги розробникам, а також  орган</w:t>
      </w:r>
      <w:r>
        <w:rPr>
          <w:color w:val="000000"/>
          <w:sz w:val="24"/>
          <w:szCs w:val="24"/>
        </w:rPr>
        <w:t xml:space="preserve">ізація придбання для них примірних </w:t>
      </w:r>
      <w:r>
        <w:rPr>
          <w:color w:val="000000"/>
          <w:sz w:val="24"/>
          <w:szCs w:val="24"/>
        </w:rPr>
        <w:lastRenderedPageBreak/>
        <w:t>інструкцій, стандартів ССБП та інших нормативно-технічних і організаційно-методичних документів про охорону праці по</w:t>
      </w:r>
      <w:r w:rsidR="001F1833">
        <w:rPr>
          <w:color w:val="000000"/>
          <w:sz w:val="24"/>
          <w:szCs w:val="24"/>
        </w:rPr>
        <w:t xml:space="preserve">кладається директором </w:t>
      </w:r>
      <w:r>
        <w:rPr>
          <w:color w:val="000000"/>
          <w:sz w:val="24"/>
          <w:szCs w:val="24"/>
        </w:rPr>
        <w:t xml:space="preserve"> на керівника служби охорони праці.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4.1.6. У разі використання примірної </w:t>
      </w:r>
      <w:r>
        <w:rPr>
          <w:color w:val="000000"/>
          <w:sz w:val="24"/>
          <w:szCs w:val="24"/>
        </w:rPr>
        <w:t>інструкції, як основи для розробки інструкцій у закладі, вона підлягає оформленню, узгодженню</w:t>
      </w:r>
      <w:r w:rsidR="001F1833">
        <w:rPr>
          <w:color w:val="000000"/>
          <w:sz w:val="24"/>
          <w:szCs w:val="24"/>
        </w:rPr>
        <w:t xml:space="preserve"> і затвердженню директором закладу</w:t>
      </w:r>
      <w:r>
        <w:rPr>
          <w:color w:val="000000"/>
          <w:sz w:val="24"/>
          <w:szCs w:val="24"/>
        </w:rPr>
        <w:t>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4.1.7. Інструкція, що діє у закладі, набуває чинності з дня її затвердження, якщо інше не передбачене розпорядженням директором з</w:t>
      </w:r>
      <w:r>
        <w:rPr>
          <w:color w:val="000000"/>
          <w:sz w:val="24"/>
          <w:szCs w:val="24"/>
        </w:rPr>
        <w:t>акладу освіти.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Інструкція повинна бути введена в дію до початку виконання  робіт.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4.1.8. Титульний аркуш, перша сторінка інструкції, оформляються згідно з       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Реєстрація, облік і видача інструкцій у закладі освіти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Інструкції, які вводяться в дію у закладі, реєструються керівником служби охорони праці в журналі реєстрації (додаток 2).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Введені і дію інструкції видаються (тиражуються) у вигляді брошур (для видачі працівникам на руки) або односторонніх аркушів</w:t>
      </w:r>
      <w:r>
        <w:rPr>
          <w:color w:val="000000"/>
          <w:sz w:val="24"/>
          <w:szCs w:val="24"/>
        </w:rPr>
        <w:t xml:space="preserve"> чи плакатів (для вивішування на робочих місцях).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Видача інструкцій керівникам структурних підрозділів проводиться керівником служби охорони праці з реєстрацією в журналі обліку інструкцій (додаток 3).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Інструкції видаються працівникам на руки без</w:t>
      </w:r>
      <w:r>
        <w:rPr>
          <w:color w:val="000000"/>
          <w:sz w:val="24"/>
          <w:szCs w:val="24"/>
        </w:rPr>
        <w:t>посередніми керівниками робіт (керівниками структурних підрозділів) під розпис у журналі реєстрації інструктажів з питань охорони праці під час проведення первинного інструктажу або вивішуються на їх робочих місцях.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У кожного керівника структурного пі</w:t>
      </w:r>
      <w:r>
        <w:rPr>
          <w:color w:val="000000"/>
          <w:sz w:val="24"/>
          <w:szCs w:val="24"/>
        </w:rPr>
        <w:t>дрозділу повинен постійно зберігатись комплект інструкцій, необхідних у даному підрозділі, для працівників усіх професій і видів робіт даного підрозділу, а також перелік цих інструкці</w:t>
      </w:r>
      <w:r w:rsidR="001F1833">
        <w:rPr>
          <w:color w:val="000000"/>
          <w:sz w:val="24"/>
          <w:szCs w:val="24"/>
        </w:rPr>
        <w:t>й, затверджений директором</w:t>
      </w:r>
      <w:r>
        <w:rPr>
          <w:color w:val="000000"/>
          <w:sz w:val="24"/>
          <w:szCs w:val="24"/>
        </w:rPr>
        <w:t>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Крім того, повний комплект інструкцій з</w:t>
      </w:r>
      <w:r>
        <w:rPr>
          <w:color w:val="000000"/>
          <w:sz w:val="24"/>
          <w:szCs w:val="24"/>
        </w:rPr>
        <w:t>берігається у  керівника служби охорони праці для ознайомлення з ними працівників.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Заклад безкоштовно забезпечує інструкціями керівників структурних підрозділів, а також працівників установи.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Перегляд, припинення чинності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 скасування інструкцій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Пере</w:t>
      </w:r>
      <w:r w:rsidR="001F1833">
        <w:rPr>
          <w:color w:val="000000"/>
          <w:sz w:val="24"/>
          <w:szCs w:val="24"/>
        </w:rPr>
        <w:t>гляд інструкцій, що діють у гімназі</w:t>
      </w:r>
      <w:r>
        <w:rPr>
          <w:color w:val="000000"/>
          <w:sz w:val="24"/>
          <w:szCs w:val="24"/>
        </w:rPr>
        <w:t>ї, здійснюється в терміни,  не рідше одного разу на 5 років, для особливо небезпечних робіт – 3 роки.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Інструкції переглядаються до закінчення термінів: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 w:firstLine="6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У разі зміни законодавства України про працю та охорону праці;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 w:firstLine="6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 разі набуття чинності новими або переглянутими  державними  нормативними актами про охорону праці;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 w:firstLine="6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 вказівкою директивних органів, </w:t>
      </w:r>
      <w:proofErr w:type="spellStart"/>
      <w:r>
        <w:rPr>
          <w:color w:val="000000"/>
          <w:sz w:val="24"/>
          <w:szCs w:val="24"/>
        </w:rPr>
        <w:t>вищестоящих</w:t>
      </w:r>
      <w:proofErr w:type="spellEnd"/>
      <w:r>
        <w:rPr>
          <w:color w:val="000000"/>
          <w:sz w:val="24"/>
          <w:szCs w:val="24"/>
        </w:rPr>
        <w:t xml:space="preserve"> організацій, органів державного управлі</w:t>
      </w:r>
      <w:r>
        <w:rPr>
          <w:color w:val="000000"/>
          <w:sz w:val="24"/>
          <w:szCs w:val="24"/>
        </w:rPr>
        <w:t>ння і нагляду за охороною праці;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 w:firstLine="6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 випадку аварійної ситуації або нещасного випадку, що викликали необхідність перегляду (зміни) інструкції;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 w:firstLine="6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впровадженні нових технологій, зміні технологічного процесу або умов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left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праці, а також при впровадженні нових</w:t>
      </w:r>
      <w:r>
        <w:rPr>
          <w:color w:val="000000"/>
          <w:sz w:val="24"/>
          <w:szCs w:val="24"/>
        </w:rPr>
        <w:t xml:space="preserve"> видів обладнання, машин, механізмів, матеріалів, апаратури, пристроїв та інструментів, видів енергії тощо.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останньому випадку перегляд інструкції проводиться до зазначених</w:t>
      </w:r>
    </w:p>
    <w:p w:rsidR="00F26FC0" w:rsidRDefault="008761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впроваджень</w:t>
      </w:r>
      <w:proofErr w:type="spellEnd"/>
      <w:r>
        <w:rPr>
          <w:color w:val="000000"/>
          <w:sz w:val="24"/>
          <w:szCs w:val="24"/>
        </w:rPr>
        <w:t xml:space="preserve"> чи змін.</w:t>
      </w: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1833" w:rsidRDefault="001F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1833" w:rsidRDefault="001F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1833" w:rsidRDefault="001F1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26FC0" w:rsidRDefault="00F26F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26FC0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E5" w:rsidRDefault="008761E5">
      <w:r>
        <w:separator/>
      </w:r>
    </w:p>
  </w:endnote>
  <w:endnote w:type="continuationSeparator" w:id="0">
    <w:p w:rsidR="008761E5" w:rsidRDefault="0087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E5" w:rsidRDefault="008761E5">
      <w:r>
        <w:separator/>
      </w:r>
    </w:p>
  </w:footnote>
  <w:footnote w:type="continuationSeparator" w:id="0">
    <w:p w:rsidR="008761E5" w:rsidRDefault="0087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C0" w:rsidRDefault="008761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6FC0" w:rsidRDefault="00F26F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C0" w:rsidRDefault="008761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F1833">
      <w:rPr>
        <w:color w:val="000000"/>
      </w:rPr>
      <w:fldChar w:fldCharType="separate"/>
    </w:r>
    <w:r w:rsidR="008E5516">
      <w:rPr>
        <w:noProof/>
        <w:color w:val="000000"/>
      </w:rPr>
      <w:t>4</w:t>
    </w:r>
    <w:r>
      <w:rPr>
        <w:color w:val="000000"/>
      </w:rPr>
      <w:fldChar w:fldCharType="end"/>
    </w:r>
  </w:p>
  <w:p w:rsidR="00F26FC0" w:rsidRDefault="00F26F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6FC0"/>
    <w:rsid w:val="001F1833"/>
    <w:rsid w:val="008761E5"/>
    <w:rsid w:val="008E5516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779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10285</Words>
  <Characters>5864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2024-04-11T13:47:00Z</cp:lastPrinted>
  <dcterms:created xsi:type="dcterms:W3CDTF">2024-04-11T13:35:00Z</dcterms:created>
  <dcterms:modified xsi:type="dcterms:W3CDTF">2024-04-11T13:50:00Z</dcterms:modified>
</cp:coreProperties>
</file>