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F16" w:rsidRPr="004D7A35" w:rsidRDefault="00356F16" w:rsidP="00356F16">
      <w:pPr>
        <w:spacing w:after="0" w:line="240" w:lineRule="auto"/>
        <w:jc w:val="center"/>
        <w:outlineLvl w:val="1"/>
        <w:rPr>
          <w:rFonts w:ascii="Times New Roman" w:eastAsia="Times New Roman" w:hAnsi="Times New Roman" w:cs="Times New Roman"/>
          <w:b/>
          <w:i/>
          <w:color w:val="13385C"/>
          <w:spacing w:val="-15"/>
          <w:sz w:val="36"/>
          <w:szCs w:val="28"/>
          <w:u w:val="single"/>
          <w:lang w:val="uk-UA" w:eastAsia="ru-RU"/>
        </w:rPr>
      </w:pPr>
      <w:r w:rsidRPr="004D7A35">
        <w:rPr>
          <w:rFonts w:ascii="Times New Roman" w:eastAsia="Times New Roman" w:hAnsi="Times New Roman" w:cs="Times New Roman"/>
          <w:b/>
          <w:i/>
          <w:color w:val="13385C"/>
          <w:spacing w:val="-15"/>
          <w:sz w:val="36"/>
          <w:szCs w:val="28"/>
          <w:u w:val="single"/>
          <w:lang w:val="uk-UA" w:eastAsia="ru-RU"/>
        </w:rPr>
        <w:t>ПОРЯДОК</w:t>
      </w:r>
    </w:p>
    <w:p w:rsidR="00356F16" w:rsidRPr="004D7A35" w:rsidRDefault="00356F16" w:rsidP="00356F16">
      <w:pPr>
        <w:spacing w:after="0" w:line="240" w:lineRule="auto"/>
        <w:jc w:val="center"/>
        <w:outlineLvl w:val="1"/>
        <w:rPr>
          <w:rFonts w:ascii="Times New Roman" w:eastAsia="Times New Roman" w:hAnsi="Times New Roman" w:cs="Times New Roman"/>
          <w:b/>
          <w:i/>
          <w:color w:val="13385C"/>
          <w:spacing w:val="-15"/>
          <w:sz w:val="36"/>
          <w:szCs w:val="28"/>
          <w:u w:val="single"/>
          <w:lang w:val="uk-UA" w:eastAsia="ru-RU"/>
        </w:rPr>
      </w:pPr>
      <w:r w:rsidRPr="004D7A35">
        <w:rPr>
          <w:rFonts w:ascii="Times New Roman" w:eastAsia="Times New Roman" w:hAnsi="Times New Roman" w:cs="Times New Roman"/>
          <w:b/>
          <w:i/>
          <w:color w:val="13385C"/>
          <w:spacing w:val="-15"/>
          <w:sz w:val="36"/>
          <w:szCs w:val="28"/>
          <w:u w:val="single"/>
          <w:lang w:val="uk-UA" w:eastAsia="ru-RU"/>
        </w:rPr>
        <w:t xml:space="preserve">реагування на випадки </w:t>
      </w:r>
      <w:proofErr w:type="spellStart"/>
      <w:r w:rsidRPr="004D7A35">
        <w:rPr>
          <w:rFonts w:ascii="Times New Roman" w:eastAsia="Times New Roman" w:hAnsi="Times New Roman" w:cs="Times New Roman"/>
          <w:b/>
          <w:i/>
          <w:color w:val="13385C"/>
          <w:spacing w:val="-15"/>
          <w:sz w:val="36"/>
          <w:szCs w:val="28"/>
          <w:u w:val="single"/>
          <w:lang w:val="uk-UA" w:eastAsia="ru-RU"/>
        </w:rPr>
        <w:t>булінгу</w:t>
      </w:r>
      <w:proofErr w:type="spellEnd"/>
      <w:r w:rsidRPr="004D7A35">
        <w:rPr>
          <w:rFonts w:ascii="Times New Roman" w:eastAsia="Times New Roman" w:hAnsi="Times New Roman" w:cs="Times New Roman"/>
          <w:b/>
          <w:i/>
          <w:color w:val="13385C"/>
          <w:spacing w:val="-15"/>
          <w:sz w:val="36"/>
          <w:szCs w:val="28"/>
          <w:u w:val="single"/>
          <w:lang w:val="uk-UA" w:eastAsia="ru-RU"/>
        </w:rPr>
        <w:t xml:space="preserve"> (цькування)</w:t>
      </w:r>
    </w:p>
    <w:p w:rsidR="00BC12E5" w:rsidRPr="004D7A35" w:rsidRDefault="00BC12E5">
      <w:pPr>
        <w:rPr>
          <w:sz w:val="28"/>
          <w:szCs w:val="28"/>
          <w:lang w:val="uk-UA"/>
        </w:rPr>
      </w:pPr>
    </w:p>
    <w:p w:rsidR="00356F16" w:rsidRPr="004D7A35" w:rsidRDefault="00356F16" w:rsidP="00356F16">
      <w:pPr>
        <w:spacing w:after="0" w:line="240" w:lineRule="auto"/>
        <w:rPr>
          <w:rFonts w:ascii="Times New Roman" w:eastAsia="Times New Roman" w:hAnsi="Times New Roman" w:cs="Times New Roman"/>
          <w:color w:val="212121"/>
          <w:sz w:val="28"/>
          <w:szCs w:val="28"/>
          <w:lang w:val="uk-UA" w:eastAsia="ru-RU"/>
        </w:rPr>
      </w:pPr>
    </w:p>
    <w:p w:rsidR="00356F16" w:rsidRPr="004D7A35" w:rsidRDefault="00356F16" w:rsidP="00356F16">
      <w:pPr>
        <w:numPr>
          <w:ilvl w:val="0"/>
          <w:numId w:val="2"/>
        </w:numPr>
        <w:spacing w:after="0" w:line="240" w:lineRule="auto"/>
        <w:ind w:left="0"/>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 xml:space="preserve">Цей Порядок визначає механізм реагування на випадки </w:t>
      </w:r>
      <w:proofErr w:type="spellStart"/>
      <w:r w:rsidRPr="004D7A35">
        <w:rPr>
          <w:rFonts w:ascii="Times New Roman" w:eastAsia="Times New Roman" w:hAnsi="Times New Roman" w:cs="Times New Roman"/>
          <w:color w:val="212121"/>
          <w:sz w:val="28"/>
          <w:szCs w:val="28"/>
          <w:lang w:val="uk-UA" w:eastAsia="ru-RU"/>
        </w:rPr>
        <w:t>булінгу</w:t>
      </w:r>
      <w:proofErr w:type="spellEnd"/>
      <w:r w:rsidRPr="004D7A35">
        <w:rPr>
          <w:rFonts w:ascii="Times New Roman" w:eastAsia="Times New Roman" w:hAnsi="Times New Roman" w:cs="Times New Roman"/>
          <w:color w:val="212121"/>
          <w:sz w:val="28"/>
          <w:szCs w:val="28"/>
          <w:lang w:val="uk-UA" w:eastAsia="ru-RU"/>
        </w:rPr>
        <w:t xml:space="preserve"> (цькування) в закладах освіти всіх типів і форм власності, крім тих, які забезпечують здобуття освіти дорослих, у тому числі післядипломної освіти.</w:t>
      </w:r>
    </w:p>
    <w:p w:rsidR="00356F16" w:rsidRPr="004D7A35" w:rsidRDefault="00356F16" w:rsidP="00356F16">
      <w:pPr>
        <w:numPr>
          <w:ilvl w:val="0"/>
          <w:numId w:val="2"/>
        </w:numPr>
        <w:spacing w:after="0" w:line="240" w:lineRule="auto"/>
        <w:ind w:left="0"/>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 xml:space="preserve"> Терміни, використані у цьому Порядку, вживаються у таких значеннях:</w:t>
      </w:r>
    </w:p>
    <w:p w:rsidR="00356F16" w:rsidRPr="004D7A35" w:rsidRDefault="00356F16" w:rsidP="00356F16">
      <w:pPr>
        <w:pStyle w:val="a3"/>
        <w:numPr>
          <w:ilvl w:val="0"/>
          <w:numId w:val="3"/>
        </w:numPr>
        <w:spacing w:before="225" w:after="0" w:line="240" w:lineRule="auto"/>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кривдник (</w:t>
      </w:r>
      <w:proofErr w:type="spellStart"/>
      <w:r w:rsidRPr="004D7A35">
        <w:rPr>
          <w:rFonts w:ascii="Times New Roman" w:eastAsia="Times New Roman" w:hAnsi="Times New Roman" w:cs="Times New Roman"/>
          <w:color w:val="212121"/>
          <w:sz w:val="28"/>
          <w:szCs w:val="28"/>
          <w:lang w:val="uk-UA" w:eastAsia="ru-RU"/>
        </w:rPr>
        <w:t>булер</w:t>
      </w:r>
      <w:proofErr w:type="spellEnd"/>
      <w:r w:rsidRPr="004D7A35">
        <w:rPr>
          <w:rFonts w:ascii="Times New Roman" w:eastAsia="Times New Roman" w:hAnsi="Times New Roman" w:cs="Times New Roman"/>
          <w:color w:val="212121"/>
          <w:sz w:val="28"/>
          <w:szCs w:val="28"/>
          <w:lang w:val="uk-UA" w:eastAsia="ru-RU"/>
        </w:rPr>
        <w:t xml:space="preserve">) - учасник освітнього процесу, в тому числі малолітня чи неповнолітня особа, яка вчиняє </w:t>
      </w:r>
      <w:proofErr w:type="spellStart"/>
      <w:r w:rsidRPr="004D7A35">
        <w:rPr>
          <w:rFonts w:ascii="Times New Roman" w:eastAsia="Times New Roman" w:hAnsi="Times New Roman" w:cs="Times New Roman"/>
          <w:color w:val="212121"/>
          <w:sz w:val="28"/>
          <w:szCs w:val="28"/>
          <w:lang w:val="uk-UA" w:eastAsia="ru-RU"/>
        </w:rPr>
        <w:t>булінг</w:t>
      </w:r>
      <w:proofErr w:type="spellEnd"/>
      <w:r w:rsidRPr="004D7A35">
        <w:rPr>
          <w:rFonts w:ascii="Times New Roman" w:eastAsia="Times New Roman" w:hAnsi="Times New Roman" w:cs="Times New Roman"/>
          <w:color w:val="212121"/>
          <w:sz w:val="28"/>
          <w:szCs w:val="28"/>
          <w:lang w:val="uk-UA" w:eastAsia="ru-RU"/>
        </w:rPr>
        <w:t xml:space="preserve"> (цькування) щодо іншого учасника освітнього процесу;</w:t>
      </w:r>
    </w:p>
    <w:p w:rsidR="00356F16" w:rsidRPr="004D7A35" w:rsidRDefault="00356F16" w:rsidP="00356F16">
      <w:pPr>
        <w:pStyle w:val="a3"/>
        <w:numPr>
          <w:ilvl w:val="0"/>
          <w:numId w:val="3"/>
        </w:numPr>
        <w:spacing w:before="225" w:after="0" w:line="240" w:lineRule="auto"/>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 xml:space="preserve">потерпілий (жертва </w:t>
      </w:r>
      <w:proofErr w:type="spellStart"/>
      <w:r w:rsidRPr="004D7A35">
        <w:rPr>
          <w:rFonts w:ascii="Times New Roman" w:eastAsia="Times New Roman" w:hAnsi="Times New Roman" w:cs="Times New Roman"/>
          <w:color w:val="212121"/>
          <w:sz w:val="28"/>
          <w:szCs w:val="28"/>
          <w:lang w:val="uk-UA" w:eastAsia="ru-RU"/>
        </w:rPr>
        <w:t>булінгу</w:t>
      </w:r>
      <w:proofErr w:type="spellEnd"/>
      <w:r w:rsidRPr="004D7A35">
        <w:rPr>
          <w:rFonts w:ascii="Times New Roman" w:eastAsia="Times New Roman" w:hAnsi="Times New Roman" w:cs="Times New Roman"/>
          <w:color w:val="212121"/>
          <w:sz w:val="28"/>
          <w:szCs w:val="28"/>
          <w:lang w:val="uk-UA" w:eastAsia="ru-RU"/>
        </w:rPr>
        <w:t>) - уча</w:t>
      </w:r>
      <w:bookmarkStart w:id="0" w:name="_GoBack"/>
      <w:bookmarkEnd w:id="0"/>
      <w:r w:rsidRPr="004D7A35">
        <w:rPr>
          <w:rFonts w:ascii="Times New Roman" w:eastAsia="Times New Roman" w:hAnsi="Times New Roman" w:cs="Times New Roman"/>
          <w:color w:val="212121"/>
          <w:sz w:val="28"/>
          <w:szCs w:val="28"/>
          <w:lang w:val="uk-UA" w:eastAsia="ru-RU"/>
        </w:rPr>
        <w:t xml:space="preserve">сник освітнього процесу, в тому числі малолітня чи неповнолітня особа, щодо якої було вчинено </w:t>
      </w:r>
      <w:proofErr w:type="spellStart"/>
      <w:r w:rsidRPr="004D7A35">
        <w:rPr>
          <w:rFonts w:ascii="Times New Roman" w:eastAsia="Times New Roman" w:hAnsi="Times New Roman" w:cs="Times New Roman"/>
          <w:color w:val="212121"/>
          <w:sz w:val="28"/>
          <w:szCs w:val="28"/>
          <w:lang w:val="uk-UA" w:eastAsia="ru-RU"/>
        </w:rPr>
        <w:t>булінг</w:t>
      </w:r>
      <w:proofErr w:type="spellEnd"/>
      <w:r w:rsidRPr="004D7A35">
        <w:rPr>
          <w:rFonts w:ascii="Times New Roman" w:eastAsia="Times New Roman" w:hAnsi="Times New Roman" w:cs="Times New Roman"/>
          <w:color w:val="212121"/>
          <w:sz w:val="28"/>
          <w:szCs w:val="28"/>
          <w:lang w:val="uk-UA" w:eastAsia="ru-RU"/>
        </w:rPr>
        <w:t xml:space="preserve"> (цькування);</w:t>
      </w:r>
    </w:p>
    <w:p w:rsidR="00356F16" w:rsidRPr="004D7A35" w:rsidRDefault="00356F16" w:rsidP="00356F16">
      <w:pPr>
        <w:pStyle w:val="a3"/>
        <w:numPr>
          <w:ilvl w:val="0"/>
          <w:numId w:val="3"/>
        </w:numPr>
        <w:spacing w:before="225" w:after="0" w:line="240" w:lineRule="auto"/>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 xml:space="preserve">спостерігачі - свідки та (або) безпосередні очевидці випадку </w:t>
      </w:r>
      <w:proofErr w:type="spellStart"/>
      <w:r w:rsidRPr="004D7A35">
        <w:rPr>
          <w:rFonts w:ascii="Times New Roman" w:eastAsia="Times New Roman" w:hAnsi="Times New Roman" w:cs="Times New Roman"/>
          <w:color w:val="212121"/>
          <w:sz w:val="28"/>
          <w:szCs w:val="28"/>
          <w:lang w:val="uk-UA" w:eastAsia="ru-RU"/>
        </w:rPr>
        <w:t>булінгу</w:t>
      </w:r>
      <w:proofErr w:type="spellEnd"/>
      <w:r w:rsidRPr="004D7A35">
        <w:rPr>
          <w:rFonts w:ascii="Times New Roman" w:eastAsia="Times New Roman" w:hAnsi="Times New Roman" w:cs="Times New Roman"/>
          <w:color w:val="212121"/>
          <w:sz w:val="28"/>
          <w:szCs w:val="28"/>
          <w:lang w:val="uk-UA" w:eastAsia="ru-RU"/>
        </w:rPr>
        <w:t xml:space="preserve"> (цькування);</w:t>
      </w:r>
    </w:p>
    <w:p w:rsidR="00356F16" w:rsidRPr="004D7A35" w:rsidRDefault="00356F16" w:rsidP="00356F16">
      <w:pPr>
        <w:pStyle w:val="a3"/>
        <w:numPr>
          <w:ilvl w:val="0"/>
          <w:numId w:val="3"/>
        </w:numPr>
        <w:spacing w:before="225" w:after="0" w:line="240" w:lineRule="auto"/>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 xml:space="preserve">сторони </w:t>
      </w:r>
      <w:proofErr w:type="spellStart"/>
      <w:r w:rsidRPr="004D7A35">
        <w:rPr>
          <w:rFonts w:ascii="Times New Roman" w:eastAsia="Times New Roman" w:hAnsi="Times New Roman" w:cs="Times New Roman"/>
          <w:color w:val="212121"/>
          <w:sz w:val="28"/>
          <w:szCs w:val="28"/>
          <w:lang w:val="uk-UA" w:eastAsia="ru-RU"/>
        </w:rPr>
        <w:t>булінгу</w:t>
      </w:r>
      <w:proofErr w:type="spellEnd"/>
      <w:r w:rsidRPr="004D7A35">
        <w:rPr>
          <w:rFonts w:ascii="Times New Roman" w:eastAsia="Times New Roman" w:hAnsi="Times New Roman" w:cs="Times New Roman"/>
          <w:color w:val="212121"/>
          <w:sz w:val="28"/>
          <w:szCs w:val="28"/>
          <w:lang w:val="uk-UA" w:eastAsia="ru-RU"/>
        </w:rPr>
        <w:t xml:space="preserve"> (цькування) - безпосередні учасники випадку: кривдник (</w:t>
      </w:r>
      <w:proofErr w:type="spellStart"/>
      <w:r w:rsidRPr="004D7A35">
        <w:rPr>
          <w:rFonts w:ascii="Times New Roman" w:eastAsia="Times New Roman" w:hAnsi="Times New Roman" w:cs="Times New Roman"/>
          <w:color w:val="212121"/>
          <w:sz w:val="28"/>
          <w:szCs w:val="28"/>
          <w:lang w:val="uk-UA" w:eastAsia="ru-RU"/>
        </w:rPr>
        <w:t>булер</w:t>
      </w:r>
      <w:proofErr w:type="spellEnd"/>
      <w:r w:rsidRPr="004D7A35">
        <w:rPr>
          <w:rFonts w:ascii="Times New Roman" w:eastAsia="Times New Roman" w:hAnsi="Times New Roman" w:cs="Times New Roman"/>
          <w:color w:val="212121"/>
          <w:sz w:val="28"/>
          <w:szCs w:val="28"/>
          <w:lang w:val="uk-UA" w:eastAsia="ru-RU"/>
        </w:rPr>
        <w:t xml:space="preserve">), потерпілий (жертва </w:t>
      </w:r>
      <w:proofErr w:type="spellStart"/>
      <w:r w:rsidRPr="004D7A35">
        <w:rPr>
          <w:rFonts w:ascii="Times New Roman" w:eastAsia="Times New Roman" w:hAnsi="Times New Roman" w:cs="Times New Roman"/>
          <w:color w:val="212121"/>
          <w:sz w:val="28"/>
          <w:szCs w:val="28"/>
          <w:lang w:val="uk-UA" w:eastAsia="ru-RU"/>
        </w:rPr>
        <w:t>булінгу</w:t>
      </w:r>
      <w:proofErr w:type="spellEnd"/>
      <w:r w:rsidRPr="004D7A35">
        <w:rPr>
          <w:rFonts w:ascii="Times New Roman" w:eastAsia="Times New Roman" w:hAnsi="Times New Roman" w:cs="Times New Roman"/>
          <w:color w:val="212121"/>
          <w:sz w:val="28"/>
          <w:szCs w:val="28"/>
          <w:lang w:val="uk-UA" w:eastAsia="ru-RU"/>
        </w:rPr>
        <w:t>), спостерігачі (за наявності).</w:t>
      </w:r>
    </w:p>
    <w:p w:rsidR="00356F16" w:rsidRPr="004D7A35" w:rsidRDefault="00356F16" w:rsidP="00356F16">
      <w:pPr>
        <w:spacing w:before="225" w:after="0" w:line="240" w:lineRule="auto"/>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Інші терміни вживаються у значеннях, наведених у </w:t>
      </w:r>
      <w:hyperlink r:id="rId5" w:tgtFrame="_blank" w:history="1">
        <w:r w:rsidRPr="004D7A35">
          <w:rPr>
            <w:rFonts w:ascii="Times New Roman" w:eastAsia="Times New Roman" w:hAnsi="Times New Roman" w:cs="Times New Roman"/>
            <w:color w:val="0000FF"/>
            <w:sz w:val="28"/>
            <w:szCs w:val="28"/>
            <w:u w:val="single"/>
            <w:lang w:val="uk-UA" w:eastAsia="ru-RU"/>
          </w:rPr>
          <w:t>Законах України "Про освіту"</w:t>
        </w:r>
      </w:hyperlink>
      <w:r w:rsidRPr="004D7A35">
        <w:rPr>
          <w:rFonts w:ascii="Times New Roman" w:eastAsia="Times New Roman" w:hAnsi="Times New Roman" w:cs="Times New Roman"/>
          <w:color w:val="212121"/>
          <w:sz w:val="28"/>
          <w:szCs w:val="28"/>
          <w:lang w:val="uk-UA" w:eastAsia="ru-RU"/>
        </w:rPr>
        <w:t>, </w:t>
      </w:r>
      <w:hyperlink r:id="rId6" w:tgtFrame="_blank" w:history="1">
        <w:r w:rsidRPr="004D7A35">
          <w:rPr>
            <w:rFonts w:ascii="Times New Roman" w:eastAsia="Times New Roman" w:hAnsi="Times New Roman" w:cs="Times New Roman"/>
            <w:color w:val="0000FF"/>
            <w:sz w:val="28"/>
            <w:szCs w:val="28"/>
            <w:u w:val="single"/>
            <w:lang w:val="uk-UA" w:eastAsia="ru-RU"/>
          </w:rPr>
          <w:t>"Про соціальні послуги"</w:t>
        </w:r>
      </w:hyperlink>
      <w:r w:rsidRPr="004D7A35">
        <w:rPr>
          <w:rFonts w:ascii="Times New Roman" w:eastAsia="Times New Roman" w:hAnsi="Times New Roman" w:cs="Times New Roman"/>
          <w:color w:val="212121"/>
          <w:sz w:val="28"/>
          <w:szCs w:val="28"/>
          <w:lang w:val="uk-UA" w:eastAsia="ru-RU"/>
        </w:rPr>
        <w:t>, </w:t>
      </w:r>
      <w:hyperlink r:id="rId7" w:tgtFrame="_blank" w:history="1">
        <w:r w:rsidRPr="004D7A35">
          <w:rPr>
            <w:rFonts w:ascii="Times New Roman" w:eastAsia="Times New Roman" w:hAnsi="Times New Roman" w:cs="Times New Roman"/>
            <w:color w:val="0000FF"/>
            <w:sz w:val="28"/>
            <w:szCs w:val="28"/>
            <w:u w:val="single"/>
            <w:lang w:val="uk-UA" w:eastAsia="ru-RU"/>
          </w:rPr>
          <w:t>"Про соціальну роботу з сім'ями, дітьми та молоддю"</w:t>
        </w:r>
      </w:hyperlink>
      <w:r w:rsidRPr="004D7A35">
        <w:rPr>
          <w:rFonts w:ascii="Times New Roman" w:eastAsia="Times New Roman" w:hAnsi="Times New Roman" w:cs="Times New Roman"/>
          <w:color w:val="212121"/>
          <w:sz w:val="28"/>
          <w:szCs w:val="28"/>
          <w:lang w:val="uk-UA" w:eastAsia="ru-RU"/>
        </w:rPr>
        <w:t>, </w:t>
      </w:r>
      <w:hyperlink r:id="rId8" w:tgtFrame="_blank" w:history="1">
        <w:r w:rsidRPr="004D7A35">
          <w:rPr>
            <w:rFonts w:ascii="Times New Roman" w:eastAsia="Times New Roman" w:hAnsi="Times New Roman" w:cs="Times New Roman"/>
            <w:color w:val="0000FF"/>
            <w:sz w:val="28"/>
            <w:szCs w:val="28"/>
            <w:u w:val="single"/>
            <w:lang w:val="uk-UA" w:eastAsia="ru-RU"/>
          </w:rPr>
          <w:t>"Про забезпечення рівних прав та можливостей жінок і чоловіків"</w:t>
        </w:r>
      </w:hyperlink>
      <w:r w:rsidRPr="004D7A35">
        <w:rPr>
          <w:rFonts w:ascii="Times New Roman" w:eastAsia="Times New Roman" w:hAnsi="Times New Roman" w:cs="Times New Roman"/>
          <w:color w:val="212121"/>
          <w:sz w:val="28"/>
          <w:szCs w:val="28"/>
          <w:lang w:val="uk-UA" w:eastAsia="ru-RU"/>
        </w:rPr>
        <w:t>, </w:t>
      </w:r>
      <w:hyperlink r:id="rId9" w:tgtFrame="_blank" w:history="1">
        <w:r w:rsidRPr="004D7A35">
          <w:rPr>
            <w:rFonts w:ascii="Times New Roman" w:eastAsia="Times New Roman" w:hAnsi="Times New Roman" w:cs="Times New Roman"/>
            <w:color w:val="0000FF"/>
            <w:sz w:val="28"/>
            <w:szCs w:val="28"/>
            <w:u w:val="single"/>
            <w:lang w:val="uk-UA" w:eastAsia="ru-RU"/>
          </w:rPr>
          <w:t>"Про засади запобігання та протидії дискримінації в Україні"</w:t>
        </w:r>
      </w:hyperlink>
      <w:r w:rsidRPr="004D7A35">
        <w:rPr>
          <w:rFonts w:ascii="Times New Roman" w:eastAsia="Times New Roman" w:hAnsi="Times New Roman" w:cs="Times New Roman"/>
          <w:color w:val="212121"/>
          <w:sz w:val="28"/>
          <w:szCs w:val="28"/>
          <w:lang w:val="uk-UA" w:eastAsia="ru-RU"/>
        </w:rPr>
        <w:t>.</w:t>
      </w:r>
    </w:p>
    <w:p w:rsidR="00356F16" w:rsidRPr="004D7A35" w:rsidRDefault="00356F16" w:rsidP="00356F16">
      <w:pPr>
        <w:spacing w:before="225" w:after="0" w:line="240" w:lineRule="auto"/>
        <w:ind w:hanging="426"/>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 xml:space="preserve">3. Проявами, які можуть бути підставами для підозри в наявності випадку </w:t>
      </w:r>
      <w:proofErr w:type="spellStart"/>
      <w:r w:rsidRPr="004D7A35">
        <w:rPr>
          <w:rFonts w:ascii="Times New Roman" w:eastAsia="Times New Roman" w:hAnsi="Times New Roman" w:cs="Times New Roman"/>
          <w:color w:val="212121"/>
          <w:sz w:val="28"/>
          <w:szCs w:val="28"/>
          <w:lang w:val="uk-UA" w:eastAsia="ru-RU"/>
        </w:rPr>
        <w:t>булінгу</w:t>
      </w:r>
      <w:proofErr w:type="spellEnd"/>
      <w:r w:rsidRPr="004D7A35">
        <w:rPr>
          <w:rFonts w:ascii="Times New Roman" w:eastAsia="Times New Roman" w:hAnsi="Times New Roman" w:cs="Times New Roman"/>
          <w:color w:val="212121"/>
          <w:sz w:val="28"/>
          <w:szCs w:val="28"/>
          <w:lang w:val="uk-UA" w:eastAsia="ru-RU"/>
        </w:rPr>
        <w:t xml:space="preserve"> (цькування) учасника освітнього процесу в закладі освіти, є:</w:t>
      </w:r>
    </w:p>
    <w:p w:rsidR="00356F16" w:rsidRPr="004D7A35" w:rsidRDefault="00356F16" w:rsidP="00356F16">
      <w:pPr>
        <w:pStyle w:val="a3"/>
        <w:numPr>
          <w:ilvl w:val="0"/>
          <w:numId w:val="4"/>
        </w:numPr>
        <w:spacing w:before="225" w:after="0" w:line="240" w:lineRule="auto"/>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замкнутість, тривожність, страх або, навпаки, демонстрація повної відсутності страху, ризикована, зухвала поведінка;</w:t>
      </w:r>
    </w:p>
    <w:p w:rsidR="00356F16" w:rsidRPr="004D7A35" w:rsidRDefault="00356F16" w:rsidP="00356F16">
      <w:pPr>
        <w:pStyle w:val="a3"/>
        <w:numPr>
          <w:ilvl w:val="0"/>
          <w:numId w:val="4"/>
        </w:numPr>
        <w:spacing w:before="225" w:after="0" w:line="240" w:lineRule="auto"/>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неврівноважена поведінка;</w:t>
      </w:r>
    </w:p>
    <w:p w:rsidR="00356F16" w:rsidRPr="004D7A35" w:rsidRDefault="00356F16" w:rsidP="00356F16">
      <w:pPr>
        <w:pStyle w:val="a3"/>
        <w:numPr>
          <w:ilvl w:val="0"/>
          <w:numId w:val="4"/>
        </w:numPr>
        <w:spacing w:before="225" w:after="0" w:line="240" w:lineRule="auto"/>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агресивність, напади люті, схильність до руйнації, нищення, насильства;</w:t>
      </w:r>
    </w:p>
    <w:p w:rsidR="00356F16" w:rsidRPr="004D7A35" w:rsidRDefault="00356F16" w:rsidP="00356F16">
      <w:pPr>
        <w:pStyle w:val="a3"/>
        <w:numPr>
          <w:ilvl w:val="0"/>
          <w:numId w:val="4"/>
        </w:numPr>
        <w:spacing w:before="225" w:after="0" w:line="240" w:lineRule="auto"/>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різка зміна звичної для дитини поведінки;</w:t>
      </w:r>
    </w:p>
    <w:p w:rsidR="00356F16" w:rsidRPr="004D7A35" w:rsidRDefault="00356F16" w:rsidP="00356F16">
      <w:pPr>
        <w:pStyle w:val="a3"/>
        <w:numPr>
          <w:ilvl w:val="0"/>
          <w:numId w:val="4"/>
        </w:numPr>
        <w:spacing w:before="225" w:after="0" w:line="240" w:lineRule="auto"/>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уповільнене мислення, знижена здатність до навчання;</w:t>
      </w:r>
    </w:p>
    <w:p w:rsidR="00356F16" w:rsidRPr="004D7A35" w:rsidRDefault="00356F16" w:rsidP="00356F16">
      <w:pPr>
        <w:pStyle w:val="a3"/>
        <w:numPr>
          <w:ilvl w:val="0"/>
          <w:numId w:val="4"/>
        </w:numPr>
        <w:spacing w:before="225" w:after="0" w:line="240" w:lineRule="auto"/>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відлюдкуватість, уникнення спілкування;</w:t>
      </w:r>
    </w:p>
    <w:p w:rsidR="00356F16" w:rsidRPr="004D7A35" w:rsidRDefault="00356F16" w:rsidP="00356F16">
      <w:pPr>
        <w:pStyle w:val="a3"/>
        <w:numPr>
          <w:ilvl w:val="0"/>
          <w:numId w:val="4"/>
        </w:numPr>
        <w:spacing w:before="225" w:after="0" w:line="240" w:lineRule="auto"/>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ізоляція, виключення з групи, небажання інших учасників освітнього процесу спілкуватися;</w:t>
      </w:r>
    </w:p>
    <w:p w:rsidR="00356F16" w:rsidRPr="004D7A35" w:rsidRDefault="00356F16" w:rsidP="00356F16">
      <w:pPr>
        <w:pStyle w:val="a3"/>
        <w:numPr>
          <w:ilvl w:val="0"/>
          <w:numId w:val="4"/>
        </w:numPr>
        <w:spacing w:before="225" w:after="0" w:line="240" w:lineRule="auto"/>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занижена самооцінка, наявність почуття провини;</w:t>
      </w:r>
    </w:p>
    <w:p w:rsidR="00356F16" w:rsidRPr="004D7A35" w:rsidRDefault="00356F16" w:rsidP="00356F16">
      <w:pPr>
        <w:pStyle w:val="a3"/>
        <w:numPr>
          <w:ilvl w:val="0"/>
          <w:numId w:val="4"/>
        </w:numPr>
        <w:spacing w:before="225" w:after="0" w:line="240" w:lineRule="auto"/>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поява швидкої втомлюваності, зниженої спроможності до концентрації уваги;</w:t>
      </w:r>
    </w:p>
    <w:p w:rsidR="00356F16" w:rsidRPr="004D7A35" w:rsidRDefault="00356F16" w:rsidP="00356F16">
      <w:pPr>
        <w:pStyle w:val="a3"/>
        <w:numPr>
          <w:ilvl w:val="0"/>
          <w:numId w:val="4"/>
        </w:numPr>
        <w:spacing w:before="225" w:after="0" w:line="240" w:lineRule="auto"/>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демонстрація страху перед появою інших учасників освітнього процесу;</w:t>
      </w:r>
    </w:p>
    <w:p w:rsidR="00356F16" w:rsidRPr="004D7A35" w:rsidRDefault="00356F16" w:rsidP="00356F16">
      <w:pPr>
        <w:pStyle w:val="a3"/>
        <w:numPr>
          <w:ilvl w:val="0"/>
          <w:numId w:val="4"/>
        </w:numPr>
        <w:spacing w:before="225" w:after="0" w:line="240" w:lineRule="auto"/>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lastRenderedPageBreak/>
        <w:t>схильність до пропуску навчальних занять;</w:t>
      </w:r>
    </w:p>
    <w:p w:rsidR="00356F16" w:rsidRPr="004D7A35" w:rsidRDefault="00356F16" w:rsidP="00356F16">
      <w:pPr>
        <w:pStyle w:val="a3"/>
        <w:numPr>
          <w:ilvl w:val="0"/>
          <w:numId w:val="4"/>
        </w:numPr>
        <w:spacing w:before="225" w:after="0" w:line="240" w:lineRule="auto"/>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відмова відвідувати заклад освіти з посиланням на погане самопочуття;</w:t>
      </w:r>
    </w:p>
    <w:p w:rsidR="00356F16" w:rsidRPr="004D7A35" w:rsidRDefault="00356F16" w:rsidP="00356F16">
      <w:pPr>
        <w:pStyle w:val="a3"/>
        <w:numPr>
          <w:ilvl w:val="0"/>
          <w:numId w:val="4"/>
        </w:numPr>
        <w:spacing w:before="225" w:after="0" w:line="240" w:lineRule="auto"/>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депресивні стани;</w:t>
      </w:r>
    </w:p>
    <w:p w:rsidR="00356F16" w:rsidRPr="004D7A35" w:rsidRDefault="00356F16" w:rsidP="00356F16">
      <w:pPr>
        <w:pStyle w:val="a3"/>
        <w:numPr>
          <w:ilvl w:val="0"/>
          <w:numId w:val="4"/>
        </w:numPr>
        <w:spacing w:before="225" w:after="0" w:line="240" w:lineRule="auto"/>
        <w:jc w:val="both"/>
        <w:rPr>
          <w:rFonts w:ascii="Times New Roman" w:eastAsia="Times New Roman" w:hAnsi="Times New Roman" w:cs="Times New Roman"/>
          <w:color w:val="212121"/>
          <w:sz w:val="28"/>
          <w:szCs w:val="28"/>
          <w:lang w:val="uk-UA" w:eastAsia="ru-RU"/>
        </w:rPr>
      </w:pPr>
      <w:proofErr w:type="spellStart"/>
      <w:r w:rsidRPr="004D7A35">
        <w:rPr>
          <w:rFonts w:ascii="Times New Roman" w:eastAsia="Times New Roman" w:hAnsi="Times New Roman" w:cs="Times New Roman"/>
          <w:color w:val="212121"/>
          <w:sz w:val="28"/>
          <w:szCs w:val="28"/>
          <w:lang w:val="uk-UA" w:eastAsia="ru-RU"/>
        </w:rPr>
        <w:t>аутоагресія</w:t>
      </w:r>
      <w:proofErr w:type="spellEnd"/>
      <w:r w:rsidRPr="004D7A35">
        <w:rPr>
          <w:rFonts w:ascii="Times New Roman" w:eastAsia="Times New Roman" w:hAnsi="Times New Roman" w:cs="Times New Roman"/>
          <w:color w:val="212121"/>
          <w:sz w:val="28"/>
          <w:szCs w:val="28"/>
          <w:lang w:val="uk-UA" w:eastAsia="ru-RU"/>
        </w:rPr>
        <w:t xml:space="preserve"> (</w:t>
      </w:r>
      <w:proofErr w:type="spellStart"/>
      <w:r w:rsidRPr="004D7A35">
        <w:rPr>
          <w:rFonts w:ascii="Times New Roman" w:eastAsia="Times New Roman" w:hAnsi="Times New Roman" w:cs="Times New Roman"/>
          <w:color w:val="212121"/>
          <w:sz w:val="28"/>
          <w:szCs w:val="28"/>
          <w:lang w:val="uk-UA" w:eastAsia="ru-RU"/>
        </w:rPr>
        <w:t>самоушкодження</w:t>
      </w:r>
      <w:proofErr w:type="spellEnd"/>
      <w:r w:rsidRPr="004D7A35">
        <w:rPr>
          <w:rFonts w:ascii="Times New Roman" w:eastAsia="Times New Roman" w:hAnsi="Times New Roman" w:cs="Times New Roman"/>
          <w:color w:val="212121"/>
          <w:sz w:val="28"/>
          <w:szCs w:val="28"/>
          <w:lang w:val="uk-UA" w:eastAsia="ru-RU"/>
        </w:rPr>
        <w:t>);</w:t>
      </w:r>
    </w:p>
    <w:p w:rsidR="00356F16" w:rsidRPr="004D7A35" w:rsidRDefault="00356F16" w:rsidP="00356F16">
      <w:pPr>
        <w:pStyle w:val="a3"/>
        <w:numPr>
          <w:ilvl w:val="0"/>
          <w:numId w:val="4"/>
        </w:numPr>
        <w:spacing w:before="225" w:after="0" w:line="240" w:lineRule="auto"/>
        <w:jc w:val="both"/>
        <w:rPr>
          <w:rFonts w:ascii="Times New Roman" w:eastAsia="Times New Roman" w:hAnsi="Times New Roman" w:cs="Times New Roman"/>
          <w:color w:val="212121"/>
          <w:sz w:val="28"/>
          <w:szCs w:val="28"/>
          <w:lang w:val="uk-UA" w:eastAsia="ru-RU"/>
        </w:rPr>
      </w:pPr>
      <w:proofErr w:type="spellStart"/>
      <w:r w:rsidRPr="004D7A35">
        <w:rPr>
          <w:rFonts w:ascii="Times New Roman" w:eastAsia="Times New Roman" w:hAnsi="Times New Roman" w:cs="Times New Roman"/>
          <w:color w:val="212121"/>
          <w:sz w:val="28"/>
          <w:szCs w:val="28"/>
          <w:lang w:val="uk-UA" w:eastAsia="ru-RU"/>
        </w:rPr>
        <w:t>суїцидальні</w:t>
      </w:r>
      <w:proofErr w:type="spellEnd"/>
      <w:r w:rsidRPr="004D7A35">
        <w:rPr>
          <w:rFonts w:ascii="Times New Roman" w:eastAsia="Times New Roman" w:hAnsi="Times New Roman" w:cs="Times New Roman"/>
          <w:color w:val="212121"/>
          <w:sz w:val="28"/>
          <w:szCs w:val="28"/>
          <w:lang w:val="uk-UA" w:eastAsia="ru-RU"/>
        </w:rPr>
        <w:t xml:space="preserve"> прояви;</w:t>
      </w:r>
    </w:p>
    <w:p w:rsidR="00356F16" w:rsidRPr="004D7A35" w:rsidRDefault="00356F16" w:rsidP="00356F16">
      <w:pPr>
        <w:pStyle w:val="a3"/>
        <w:numPr>
          <w:ilvl w:val="0"/>
          <w:numId w:val="4"/>
        </w:numPr>
        <w:spacing w:before="225" w:after="0" w:line="240" w:lineRule="auto"/>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явні фізичні ушкодження та (або) ознаки поганого самопочуття (нудота, головний біль, кволість тощо);</w:t>
      </w:r>
    </w:p>
    <w:p w:rsidR="00356F16" w:rsidRPr="004D7A35" w:rsidRDefault="00356F16" w:rsidP="00356F16">
      <w:pPr>
        <w:pStyle w:val="a3"/>
        <w:numPr>
          <w:ilvl w:val="0"/>
          <w:numId w:val="4"/>
        </w:numPr>
        <w:spacing w:before="225" w:after="0" w:line="240" w:lineRule="auto"/>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намагання приховати травми та обставини їх отримання;</w:t>
      </w:r>
    </w:p>
    <w:p w:rsidR="00356F16" w:rsidRPr="004D7A35" w:rsidRDefault="00356F16" w:rsidP="00356F16">
      <w:pPr>
        <w:pStyle w:val="a3"/>
        <w:numPr>
          <w:ilvl w:val="0"/>
          <w:numId w:val="4"/>
        </w:numPr>
        <w:spacing w:before="225" w:after="0" w:line="240" w:lineRule="auto"/>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 xml:space="preserve">скарги дитини на біль та (або) погане самопочуття; </w:t>
      </w:r>
    </w:p>
    <w:p w:rsidR="00356F16" w:rsidRPr="004D7A35" w:rsidRDefault="00356F16" w:rsidP="00356F16">
      <w:pPr>
        <w:pStyle w:val="a3"/>
        <w:numPr>
          <w:ilvl w:val="0"/>
          <w:numId w:val="4"/>
        </w:numPr>
        <w:spacing w:before="225" w:after="0" w:line="240" w:lineRule="auto"/>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пошкодження чи зникнення особистих речей;</w:t>
      </w:r>
    </w:p>
    <w:p w:rsidR="00356F16" w:rsidRPr="004D7A35" w:rsidRDefault="00356F16" w:rsidP="00356F16">
      <w:pPr>
        <w:pStyle w:val="a3"/>
        <w:numPr>
          <w:ilvl w:val="0"/>
          <w:numId w:val="4"/>
        </w:numPr>
        <w:spacing w:before="225" w:after="0" w:line="240" w:lineRule="auto"/>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 xml:space="preserve"> вимагання особистих речей, їжі, грошей; </w:t>
      </w:r>
    </w:p>
    <w:p w:rsidR="00356F16" w:rsidRPr="004D7A35" w:rsidRDefault="00356F16" w:rsidP="00356F16">
      <w:pPr>
        <w:pStyle w:val="a3"/>
        <w:numPr>
          <w:ilvl w:val="0"/>
          <w:numId w:val="4"/>
        </w:numPr>
        <w:spacing w:before="225" w:after="0" w:line="240" w:lineRule="auto"/>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жести, висловлювання, прізвиська, жарти, погрози, поширення чуток сексуального (інтимного) характеру або інших відомостей, які особа бажає зберегти в таємниці;</w:t>
      </w:r>
    </w:p>
    <w:p w:rsidR="00356F16" w:rsidRPr="004D7A35" w:rsidRDefault="00356F16" w:rsidP="00356F16">
      <w:pPr>
        <w:pStyle w:val="a3"/>
        <w:numPr>
          <w:ilvl w:val="0"/>
          <w:numId w:val="4"/>
        </w:numPr>
        <w:spacing w:before="225" w:after="0" w:line="240" w:lineRule="auto"/>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 xml:space="preserve">наявність фото-, відео- та </w:t>
      </w:r>
      <w:proofErr w:type="spellStart"/>
      <w:r w:rsidRPr="004D7A35">
        <w:rPr>
          <w:rFonts w:ascii="Times New Roman" w:eastAsia="Times New Roman" w:hAnsi="Times New Roman" w:cs="Times New Roman"/>
          <w:color w:val="212121"/>
          <w:sz w:val="28"/>
          <w:szCs w:val="28"/>
          <w:lang w:val="uk-UA" w:eastAsia="ru-RU"/>
        </w:rPr>
        <w:t>аудіоматеріалів</w:t>
      </w:r>
      <w:proofErr w:type="spellEnd"/>
      <w:r w:rsidRPr="004D7A35">
        <w:rPr>
          <w:rFonts w:ascii="Times New Roman" w:eastAsia="Times New Roman" w:hAnsi="Times New Roman" w:cs="Times New Roman"/>
          <w:color w:val="212121"/>
          <w:sz w:val="28"/>
          <w:szCs w:val="28"/>
          <w:lang w:val="uk-UA" w:eastAsia="ru-RU"/>
        </w:rPr>
        <w:t xml:space="preserve"> фізичних або психологічних знущань, сексуального (інтимного) змісту;</w:t>
      </w:r>
    </w:p>
    <w:p w:rsidR="00356F16" w:rsidRPr="004D7A35" w:rsidRDefault="00356F16" w:rsidP="00356F16">
      <w:pPr>
        <w:pStyle w:val="a3"/>
        <w:numPr>
          <w:ilvl w:val="0"/>
          <w:numId w:val="4"/>
        </w:numPr>
        <w:spacing w:before="225" w:after="0" w:line="240" w:lineRule="auto"/>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наявні пошкодження або зникнення майна та (або) особистих речей.</w:t>
      </w:r>
    </w:p>
    <w:p w:rsidR="00356F16" w:rsidRPr="004D7A35" w:rsidRDefault="00356F16" w:rsidP="00356F16">
      <w:pPr>
        <w:spacing w:before="225" w:after="0" w:line="240" w:lineRule="auto"/>
        <w:ind w:hanging="284"/>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 xml:space="preserve">4. До </w:t>
      </w:r>
      <w:proofErr w:type="spellStart"/>
      <w:r w:rsidRPr="004D7A35">
        <w:rPr>
          <w:rFonts w:ascii="Times New Roman" w:eastAsia="Times New Roman" w:hAnsi="Times New Roman" w:cs="Times New Roman"/>
          <w:color w:val="212121"/>
          <w:sz w:val="28"/>
          <w:szCs w:val="28"/>
          <w:lang w:val="uk-UA" w:eastAsia="ru-RU"/>
        </w:rPr>
        <w:t>булінгу</w:t>
      </w:r>
      <w:proofErr w:type="spellEnd"/>
      <w:r w:rsidRPr="004D7A35">
        <w:rPr>
          <w:rFonts w:ascii="Times New Roman" w:eastAsia="Times New Roman" w:hAnsi="Times New Roman" w:cs="Times New Roman"/>
          <w:color w:val="212121"/>
          <w:sz w:val="28"/>
          <w:szCs w:val="28"/>
          <w:lang w:val="uk-UA" w:eastAsia="ru-RU"/>
        </w:rPr>
        <w:t xml:space="preserve"> (цькування) в закладах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в тому числі дорогою до (із) закладу освіти.</w:t>
      </w:r>
    </w:p>
    <w:p w:rsidR="00356F16" w:rsidRPr="004D7A35" w:rsidRDefault="00356F16" w:rsidP="00356F16">
      <w:pPr>
        <w:spacing w:before="225" w:after="0" w:line="240" w:lineRule="auto"/>
        <w:ind w:hanging="284"/>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 xml:space="preserve">    Ознаками </w:t>
      </w:r>
      <w:proofErr w:type="spellStart"/>
      <w:r w:rsidRPr="004D7A35">
        <w:rPr>
          <w:rFonts w:ascii="Times New Roman" w:eastAsia="Times New Roman" w:hAnsi="Times New Roman" w:cs="Times New Roman"/>
          <w:color w:val="212121"/>
          <w:sz w:val="28"/>
          <w:szCs w:val="28"/>
          <w:lang w:val="uk-UA" w:eastAsia="ru-RU"/>
        </w:rPr>
        <w:t>булінгу</w:t>
      </w:r>
      <w:proofErr w:type="spellEnd"/>
      <w:r w:rsidRPr="004D7A35">
        <w:rPr>
          <w:rFonts w:ascii="Times New Roman" w:eastAsia="Times New Roman" w:hAnsi="Times New Roman" w:cs="Times New Roman"/>
          <w:color w:val="212121"/>
          <w:sz w:val="28"/>
          <w:szCs w:val="28"/>
          <w:lang w:val="uk-UA" w:eastAsia="ru-RU"/>
        </w:rPr>
        <w:t xml:space="preserve">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rsidR="00356F16" w:rsidRPr="004D7A35" w:rsidRDefault="00356F16" w:rsidP="00356F16">
      <w:pPr>
        <w:pStyle w:val="a3"/>
        <w:numPr>
          <w:ilvl w:val="0"/>
          <w:numId w:val="5"/>
        </w:numPr>
        <w:spacing w:before="225" w:after="0" w:line="240" w:lineRule="auto"/>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356F16" w:rsidRPr="004D7A35" w:rsidRDefault="00356F16" w:rsidP="00356F16">
      <w:pPr>
        <w:pStyle w:val="a3"/>
        <w:numPr>
          <w:ilvl w:val="0"/>
          <w:numId w:val="5"/>
        </w:numPr>
        <w:spacing w:before="225" w:after="0" w:line="240" w:lineRule="auto"/>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словесні образи, погрози, у тому числі щодо третіх осіб, приниження, переслідування, залякування, інші діяння, спрямовані на обмеження волевиявлення особи;</w:t>
      </w:r>
    </w:p>
    <w:p w:rsidR="00356F16" w:rsidRPr="004D7A35" w:rsidRDefault="00356F16" w:rsidP="00356F16">
      <w:pPr>
        <w:pStyle w:val="a3"/>
        <w:numPr>
          <w:ilvl w:val="0"/>
          <w:numId w:val="5"/>
        </w:numPr>
        <w:spacing w:before="225" w:after="0" w:line="240" w:lineRule="auto"/>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будь-яка форма небажаної вербальної, невербальної чи фізичної поведінки сексуального характеру, зокрема принизливі погляди, жести, образливі рухи тіла, прізвиська, образи, жарти, погрози, поширення образливих чуток;</w:t>
      </w:r>
    </w:p>
    <w:p w:rsidR="00356F16" w:rsidRPr="004D7A35" w:rsidRDefault="00356F16" w:rsidP="00356F16">
      <w:pPr>
        <w:pStyle w:val="a3"/>
        <w:numPr>
          <w:ilvl w:val="0"/>
          <w:numId w:val="5"/>
        </w:numPr>
        <w:spacing w:before="225" w:after="0" w:line="240" w:lineRule="auto"/>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будь-яка форма небажаної фізичної поведінки, зокрема ляпаси, стусани, штовхання, щипання, шмагання, кусання, завдання ударів;</w:t>
      </w:r>
    </w:p>
    <w:p w:rsidR="00356F16" w:rsidRPr="004D7A35" w:rsidRDefault="00356F16" w:rsidP="00356F16">
      <w:pPr>
        <w:pStyle w:val="a3"/>
        <w:numPr>
          <w:ilvl w:val="0"/>
          <w:numId w:val="5"/>
        </w:numPr>
        <w:spacing w:before="225" w:after="0" w:line="240" w:lineRule="auto"/>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lastRenderedPageBreak/>
        <w:t>інші правопорушення насильницького характеру.</w:t>
      </w:r>
    </w:p>
    <w:p w:rsidR="00356F16" w:rsidRPr="004D7A35" w:rsidRDefault="00356F16" w:rsidP="00356F16">
      <w:pPr>
        <w:spacing w:before="225" w:after="0" w:line="240" w:lineRule="auto"/>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 xml:space="preserve">5. Суб'єктами реагування у разі настання випадку </w:t>
      </w:r>
      <w:proofErr w:type="spellStart"/>
      <w:r w:rsidRPr="004D7A35">
        <w:rPr>
          <w:rFonts w:ascii="Times New Roman" w:eastAsia="Times New Roman" w:hAnsi="Times New Roman" w:cs="Times New Roman"/>
          <w:color w:val="212121"/>
          <w:sz w:val="28"/>
          <w:szCs w:val="28"/>
          <w:lang w:val="uk-UA" w:eastAsia="ru-RU"/>
        </w:rPr>
        <w:t>булінгу</w:t>
      </w:r>
      <w:proofErr w:type="spellEnd"/>
      <w:r w:rsidRPr="004D7A35">
        <w:rPr>
          <w:rFonts w:ascii="Times New Roman" w:eastAsia="Times New Roman" w:hAnsi="Times New Roman" w:cs="Times New Roman"/>
          <w:color w:val="212121"/>
          <w:sz w:val="28"/>
          <w:szCs w:val="28"/>
          <w:lang w:val="uk-UA" w:eastAsia="ru-RU"/>
        </w:rPr>
        <w:t xml:space="preserve"> (цькування) в закладах освіти (далі - суб'єкти реагування) є:</w:t>
      </w:r>
    </w:p>
    <w:p w:rsidR="00356F16" w:rsidRPr="004D7A35" w:rsidRDefault="00356F16" w:rsidP="00356F16">
      <w:pPr>
        <w:pStyle w:val="a3"/>
        <w:numPr>
          <w:ilvl w:val="0"/>
          <w:numId w:val="6"/>
        </w:numPr>
        <w:spacing w:before="225" w:after="0" w:line="240" w:lineRule="auto"/>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служба освітнього омбудсмена;</w:t>
      </w:r>
    </w:p>
    <w:p w:rsidR="00356F16" w:rsidRPr="004D7A35" w:rsidRDefault="00356F16" w:rsidP="00356F16">
      <w:pPr>
        <w:pStyle w:val="a3"/>
        <w:numPr>
          <w:ilvl w:val="0"/>
          <w:numId w:val="6"/>
        </w:numPr>
        <w:spacing w:before="225" w:after="0" w:line="240" w:lineRule="auto"/>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служби у справах дітей;</w:t>
      </w:r>
    </w:p>
    <w:p w:rsidR="00356F16" w:rsidRPr="004D7A35" w:rsidRDefault="00356F16" w:rsidP="00356F16">
      <w:pPr>
        <w:pStyle w:val="a3"/>
        <w:numPr>
          <w:ilvl w:val="0"/>
          <w:numId w:val="6"/>
        </w:numPr>
        <w:spacing w:before="225" w:after="0" w:line="240" w:lineRule="auto"/>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центри соціальних служб для сім'ї, дітей та молоді;</w:t>
      </w:r>
    </w:p>
    <w:p w:rsidR="00356F16" w:rsidRPr="004D7A35" w:rsidRDefault="00356F16" w:rsidP="00356F16">
      <w:pPr>
        <w:pStyle w:val="a3"/>
        <w:numPr>
          <w:ilvl w:val="0"/>
          <w:numId w:val="6"/>
        </w:numPr>
        <w:spacing w:before="225" w:after="0" w:line="240" w:lineRule="auto"/>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органи місцевого самоврядування;</w:t>
      </w:r>
    </w:p>
    <w:p w:rsidR="00356F16" w:rsidRPr="004D7A35" w:rsidRDefault="00356F16" w:rsidP="00356F16">
      <w:pPr>
        <w:pStyle w:val="a3"/>
        <w:numPr>
          <w:ilvl w:val="0"/>
          <w:numId w:val="6"/>
        </w:numPr>
        <w:spacing w:before="225" w:after="0" w:line="240" w:lineRule="auto"/>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керівники та інші працівники закладів освіти;</w:t>
      </w:r>
    </w:p>
    <w:p w:rsidR="00356F16" w:rsidRPr="004D7A35" w:rsidRDefault="00356F16" w:rsidP="00356F16">
      <w:pPr>
        <w:pStyle w:val="a3"/>
        <w:numPr>
          <w:ilvl w:val="0"/>
          <w:numId w:val="6"/>
        </w:numPr>
        <w:spacing w:before="225" w:after="0" w:line="240" w:lineRule="auto"/>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засновник (засновники) закладів освіти або уповноважений ним (ними) орган;</w:t>
      </w:r>
    </w:p>
    <w:p w:rsidR="00356F16" w:rsidRPr="004D7A35" w:rsidRDefault="00356F16" w:rsidP="00356F16">
      <w:pPr>
        <w:pStyle w:val="a3"/>
        <w:numPr>
          <w:ilvl w:val="0"/>
          <w:numId w:val="6"/>
        </w:numPr>
        <w:spacing w:before="225" w:after="0" w:line="240" w:lineRule="auto"/>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територіальні органи (підрозділи) Національної поліції України.</w:t>
      </w:r>
    </w:p>
    <w:p w:rsidR="00356F16" w:rsidRPr="004D7A35" w:rsidRDefault="00356F16" w:rsidP="00356F16">
      <w:pPr>
        <w:spacing w:before="225" w:after="0" w:line="240" w:lineRule="auto"/>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 xml:space="preserve">Суб'єкти реагування на випадки </w:t>
      </w:r>
      <w:proofErr w:type="spellStart"/>
      <w:r w:rsidRPr="004D7A35">
        <w:rPr>
          <w:rFonts w:ascii="Times New Roman" w:eastAsia="Times New Roman" w:hAnsi="Times New Roman" w:cs="Times New Roman"/>
          <w:color w:val="212121"/>
          <w:sz w:val="28"/>
          <w:szCs w:val="28"/>
          <w:lang w:val="uk-UA" w:eastAsia="ru-RU"/>
        </w:rPr>
        <w:t>булінгу</w:t>
      </w:r>
      <w:proofErr w:type="spellEnd"/>
      <w:r w:rsidRPr="004D7A35">
        <w:rPr>
          <w:rFonts w:ascii="Times New Roman" w:eastAsia="Times New Roman" w:hAnsi="Times New Roman" w:cs="Times New Roman"/>
          <w:color w:val="212121"/>
          <w:sz w:val="28"/>
          <w:szCs w:val="28"/>
          <w:lang w:val="uk-UA" w:eastAsia="ru-RU"/>
        </w:rPr>
        <w:t xml:space="preserve"> (цькування) в закладах освіти діють в межах повноважень, передбачених законодавством та цим Порядком.</w:t>
      </w:r>
    </w:p>
    <w:p w:rsidR="00356F16" w:rsidRPr="004D7A35" w:rsidRDefault="00356F16" w:rsidP="00356F16">
      <w:pPr>
        <w:spacing w:before="225" w:after="0" w:line="240" w:lineRule="auto"/>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 xml:space="preserve">6. Суб'єкти реагування здійснюють заходи, спрямовані на запобігання та протидію </w:t>
      </w:r>
      <w:proofErr w:type="spellStart"/>
      <w:r w:rsidRPr="004D7A35">
        <w:rPr>
          <w:rFonts w:ascii="Times New Roman" w:eastAsia="Times New Roman" w:hAnsi="Times New Roman" w:cs="Times New Roman"/>
          <w:color w:val="212121"/>
          <w:sz w:val="28"/>
          <w:szCs w:val="28"/>
          <w:lang w:val="uk-UA" w:eastAsia="ru-RU"/>
        </w:rPr>
        <w:t>булінгу</w:t>
      </w:r>
      <w:proofErr w:type="spellEnd"/>
      <w:r w:rsidRPr="004D7A35">
        <w:rPr>
          <w:rFonts w:ascii="Times New Roman" w:eastAsia="Times New Roman" w:hAnsi="Times New Roman" w:cs="Times New Roman"/>
          <w:color w:val="212121"/>
          <w:sz w:val="28"/>
          <w:szCs w:val="28"/>
          <w:lang w:val="uk-UA" w:eastAsia="ru-RU"/>
        </w:rPr>
        <w:t xml:space="preserve"> (цькуванню) в закладах освіти згідно з Планом заходів, спрямованих на запобігання та протидію </w:t>
      </w:r>
      <w:proofErr w:type="spellStart"/>
      <w:r w:rsidRPr="004D7A35">
        <w:rPr>
          <w:rFonts w:ascii="Times New Roman" w:eastAsia="Times New Roman" w:hAnsi="Times New Roman" w:cs="Times New Roman"/>
          <w:color w:val="212121"/>
          <w:sz w:val="28"/>
          <w:szCs w:val="28"/>
          <w:lang w:val="uk-UA" w:eastAsia="ru-RU"/>
        </w:rPr>
        <w:t>булінгу</w:t>
      </w:r>
      <w:proofErr w:type="spellEnd"/>
      <w:r w:rsidRPr="004D7A35">
        <w:rPr>
          <w:rFonts w:ascii="Times New Roman" w:eastAsia="Times New Roman" w:hAnsi="Times New Roman" w:cs="Times New Roman"/>
          <w:color w:val="212121"/>
          <w:sz w:val="28"/>
          <w:szCs w:val="28"/>
          <w:lang w:val="uk-UA" w:eastAsia="ru-RU"/>
        </w:rPr>
        <w:t xml:space="preserve"> (цькуванню) в закладах освіти, затвердженим центральним органом виконавчої влади у сфері освіти і науки.</w:t>
      </w:r>
    </w:p>
    <w:p w:rsidR="00356F16" w:rsidRPr="004D7A35" w:rsidRDefault="00356F16" w:rsidP="00356F16">
      <w:pPr>
        <w:spacing w:before="225" w:after="0" w:line="240" w:lineRule="auto"/>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 xml:space="preserve">7. Педагогічні (науково-педагогічні) та інші працівники закладу освіти у разі, якщо вони виявляють </w:t>
      </w:r>
      <w:proofErr w:type="spellStart"/>
      <w:r w:rsidRPr="004D7A35">
        <w:rPr>
          <w:rFonts w:ascii="Times New Roman" w:eastAsia="Times New Roman" w:hAnsi="Times New Roman" w:cs="Times New Roman"/>
          <w:color w:val="212121"/>
          <w:sz w:val="28"/>
          <w:szCs w:val="28"/>
          <w:lang w:val="uk-UA" w:eastAsia="ru-RU"/>
        </w:rPr>
        <w:t>булінг</w:t>
      </w:r>
      <w:proofErr w:type="spellEnd"/>
      <w:r w:rsidRPr="004D7A35">
        <w:rPr>
          <w:rFonts w:ascii="Times New Roman" w:eastAsia="Times New Roman" w:hAnsi="Times New Roman" w:cs="Times New Roman"/>
          <w:color w:val="212121"/>
          <w:sz w:val="28"/>
          <w:szCs w:val="28"/>
          <w:lang w:val="uk-UA" w:eastAsia="ru-RU"/>
        </w:rPr>
        <w:t xml:space="preserve"> (цькування), зобов'язані:</w:t>
      </w:r>
    </w:p>
    <w:p w:rsidR="00356F16" w:rsidRPr="004D7A35" w:rsidRDefault="00356F16" w:rsidP="00356F16">
      <w:pPr>
        <w:pStyle w:val="a3"/>
        <w:numPr>
          <w:ilvl w:val="0"/>
          <w:numId w:val="7"/>
        </w:numPr>
        <w:spacing w:before="225" w:after="0" w:line="240" w:lineRule="auto"/>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вжити невідкладних заходів для припинення небезпечного впливу;</w:t>
      </w:r>
    </w:p>
    <w:p w:rsidR="00356F16" w:rsidRPr="004D7A35" w:rsidRDefault="00356F16" w:rsidP="00356F16">
      <w:pPr>
        <w:pStyle w:val="a3"/>
        <w:numPr>
          <w:ilvl w:val="0"/>
          <w:numId w:val="7"/>
        </w:numPr>
        <w:spacing w:before="225" w:after="0" w:line="240" w:lineRule="auto"/>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 xml:space="preserve">за потреби надати </w:t>
      </w:r>
      <w:proofErr w:type="spellStart"/>
      <w:r w:rsidRPr="004D7A35">
        <w:rPr>
          <w:rFonts w:ascii="Times New Roman" w:eastAsia="Times New Roman" w:hAnsi="Times New Roman" w:cs="Times New Roman"/>
          <w:color w:val="212121"/>
          <w:sz w:val="28"/>
          <w:szCs w:val="28"/>
          <w:lang w:val="uk-UA" w:eastAsia="ru-RU"/>
        </w:rPr>
        <w:t>домедичну</w:t>
      </w:r>
      <w:proofErr w:type="spellEnd"/>
      <w:r w:rsidRPr="004D7A35">
        <w:rPr>
          <w:rFonts w:ascii="Times New Roman" w:eastAsia="Times New Roman" w:hAnsi="Times New Roman" w:cs="Times New Roman"/>
          <w:color w:val="212121"/>
          <w:sz w:val="28"/>
          <w:szCs w:val="28"/>
          <w:lang w:val="uk-UA" w:eastAsia="ru-RU"/>
        </w:rPr>
        <w:t xml:space="preserve"> допомогу та викликати бригаду екстреної (швидкої) медичної допомоги для надання екстреної медичної допомоги;</w:t>
      </w:r>
    </w:p>
    <w:p w:rsidR="00356F16" w:rsidRPr="004D7A35" w:rsidRDefault="00356F16" w:rsidP="00356F16">
      <w:pPr>
        <w:pStyle w:val="a3"/>
        <w:numPr>
          <w:ilvl w:val="0"/>
          <w:numId w:val="7"/>
        </w:numPr>
        <w:spacing w:before="225" w:after="0" w:line="240" w:lineRule="auto"/>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звернутись (за потреби) до територіальних органів (підрозділів) Національної поліції України;</w:t>
      </w:r>
    </w:p>
    <w:p w:rsidR="00356F16" w:rsidRPr="004D7A35" w:rsidRDefault="00356F16" w:rsidP="00356F16">
      <w:pPr>
        <w:pStyle w:val="a3"/>
        <w:numPr>
          <w:ilvl w:val="0"/>
          <w:numId w:val="7"/>
        </w:numPr>
        <w:spacing w:before="225" w:after="0" w:line="240" w:lineRule="auto"/>
        <w:jc w:val="both"/>
        <w:rPr>
          <w:rFonts w:ascii="Times New Roman" w:eastAsia="Times New Roman" w:hAnsi="Times New Roman" w:cs="Times New Roman"/>
          <w:color w:val="212121"/>
          <w:sz w:val="28"/>
          <w:szCs w:val="28"/>
          <w:lang w:val="uk-UA" w:eastAsia="ru-RU"/>
        </w:rPr>
      </w:pPr>
      <w:r w:rsidRPr="004D7A35">
        <w:rPr>
          <w:rFonts w:ascii="Times New Roman" w:eastAsia="Times New Roman" w:hAnsi="Times New Roman" w:cs="Times New Roman"/>
          <w:color w:val="212121"/>
          <w:sz w:val="28"/>
          <w:szCs w:val="28"/>
          <w:lang w:val="uk-UA" w:eastAsia="ru-RU"/>
        </w:rPr>
        <w:t xml:space="preserve">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w:t>
      </w:r>
      <w:proofErr w:type="spellStart"/>
      <w:r w:rsidRPr="004D7A35">
        <w:rPr>
          <w:rFonts w:ascii="Times New Roman" w:eastAsia="Times New Roman" w:hAnsi="Times New Roman" w:cs="Times New Roman"/>
          <w:color w:val="212121"/>
          <w:sz w:val="28"/>
          <w:szCs w:val="28"/>
          <w:lang w:val="uk-UA" w:eastAsia="ru-RU"/>
        </w:rPr>
        <w:t>булінгу</w:t>
      </w:r>
      <w:proofErr w:type="spellEnd"/>
      <w:r w:rsidRPr="004D7A35">
        <w:rPr>
          <w:rFonts w:ascii="Times New Roman" w:eastAsia="Times New Roman" w:hAnsi="Times New Roman" w:cs="Times New Roman"/>
          <w:color w:val="212121"/>
          <w:sz w:val="28"/>
          <w:szCs w:val="28"/>
          <w:lang w:val="uk-UA" w:eastAsia="ru-RU"/>
        </w:rPr>
        <w:t xml:space="preserve"> (цькування).</w:t>
      </w:r>
    </w:p>
    <w:p w:rsidR="00356F16" w:rsidRPr="004D7A35" w:rsidRDefault="00356F16">
      <w:pPr>
        <w:rPr>
          <w:rFonts w:ascii="Times New Roman" w:hAnsi="Times New Roman" w:cs="Times New Roman"/>
          <w:sz w:val="28"/>
          <w:szCs w:val="28"/>
          <w:lang w:val="uk-UA"/>
        </w:rPr>
      </w:pPr>
    </w:p>
    <w:sectPr w:rsidR="00356F16" w:rsidRPr="004D7A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35CD8"/>
    <w:multiLevelType w:val="hybridMultilevel"/>
    <w:tmpl w:val="07B63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952858"/>
    <w:multiLevelType w:val="hybridMultilevel"/>
    <w:tmpl w:val="F5E63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94154E"/>
    <w:multiLevelType w:val="multilevel"/>
    <w:tmpl w:val="2C5AE1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AB2A86"/>
    <w:multiLevelType w:val="hybridMultilevel"/>
    <w:tmpl w:val="1DB2B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F771CA9"/>
    <w:multiLevelType w:val="multilevel"/>
    <w:tmpl w:val="519C5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0F0ABD"/>
    <w:multiLevelType w:val="hybridMultilevel"/>
    <w:tmpl w:val="6D086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9FA3249"/>
    <w:multiLevelType w:val="hybridMultilevel"/>
    <w:tmpl w:val="9550C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8F"/>
    <w:rsid w:val="002F0CA5"/>
    <w:rsid w:val="00356F16"/>
    <w:rsid w:val="004D7A35"/>
    <w:rsid w:val="00BC12E5"/>
    <w:rsid w:val="00C56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29BF6-C3E7-4D41-AA68-75C1D556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6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951999">
      <w:bodyDiv w:val="1"/>
      <w:marLeft w:val="0"/>
      <w:marRight w:val="0"/>
      <w:marTop w:val="0"/>
      <w:marBottom w:val="0"/>
      <w:divBdr>
        <w:top w:val="none" w:sz="0" w:space="0" w:color="auto"/>
        <w:left w:val="none" w:sz="0" w:space="0" w:color="auto"/>
        <w:bottom w:val="none" w:sz="0" w:space="0" w:color="auto"/>
        <w:right w:val="none" w:sz="0" w:space="0" w:color="auto"/>
      </w:divBdr>
    </w:div>
    <w:div w:id="93863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search.ligazakon.ua%2Fl_doc2.nsf%2Flink1%2FT052866.html&amp;sa=D&amp;sntz=1&amp;usg=AFQjCNE6osEHpTnLn97iIAoijz8X3h1_1Q" TargetMode="External"/><Relationship Id="rId3" Type="http://schemas.openxmlformats.org/officeDocument/2006/relationships/settings" Target="settings.xml"/><Relationship Id="rId7" Type="http://schemas.openxmlformats.org/officeDocument/2006/relationships/hyperlink" Target="http://www.google.com/url?q=http%3A%2F%2Fsearch.ligazakon.ua%2Fl_doc2.nsf%2Flink1%2FT012558.html&amp;sa=D&amp;sntz=1&amp;usg=AFQjCNFsagvSB8QLzKU7r72BUW_LlOnH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search.ligazakon.ua%2Fl_doc2.nsf%2Flink1%2FT192671.html&amp;sa=D&amp;sntz=1&amp;usg=AFQjCNGbuGfOF0Jyg60VpxTV8VST-uJ3qA" TargetMode="External"/><Relationship Id="rId11" Type="http://schemas.openxmlformats.org/officeDocument/2006/relationships/theme" Target="theme/theme1.xml"/><Relationship Id="rId5" Type="http://schemas.openxmlformats.org/officeDocument/2006/relationships/hyperlink" Target="http://www.google.com/url?q=http%3A%2F%2Fsearch.ligazakon.ua%2Fl_doc2.nsf%2Flink1%2FT172145.html&amp;sa=D&amp;sntz=1&amp;usg=AFQjCNERnEEXD2h6GEkGIoOx1RIfv0RyY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com/url?q=http%3A%2F%2Fsearch.ligazakon.ua%2Fl_doc2.nsf%2Flink1%2FT125207.html&amp;sa=D&amp;sntz=1&amp;usg=AFQjCNFHyfsDZqwilyLX3I6aVrz7X5NsW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995</Words>
  <Characters>5675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2</cp:revision>
  <dcterms:created xsi:type="dcterms:W3CDTF">2021-11-09T16:06:00Z</dcterms:created>
  <dcterms:modified xsi:type="dcterms:W3CDTF">2021-11-09T16:06:00Z</dcterms:modified>
</cp:coreProperties>
</file>