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ED" w:rsidRPr="007A17ED" w:rsidRDefault="007A17ED" w:rsidP="007A17ED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val="uk-UA" w:eastAsia="ru-RU"/>
        </w:rPr>
      </w:pPr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val="uk-UA" w:eastAsia="ru-RU"/>
        </w:rPr>
        <w:t>В</w:t>
      </w:r>
      <w:proofErr w:type="spellStart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>ідповідальність</w:t>
      </w:r>
      <w:proofErr w:type="spellEnd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 xml:space="preserve"> за </w:t>
      </w:r>
      <w:proofErr w:type="spellStart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>вчинення</w:t>
      </w:r>
      <w:proofErr w:type="spellEnd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>булінгу</w:t>
      </w:r>
      <w:proofErr w:type="spellEnd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 xml:space="preserve"> та </w:t>
      </w:r>
      <w:proofErr w:type="spellStart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>недотримання</w:t>
      </w:r>
      <w:proofErr w:type="spellEnd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 xml:space="preserve"> алгоритму </w:t>
      </w:r>
      <w:proofErr w:type="spellStart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>дій</w:t>
      </w:r>
      <w:proofErr w:type="spellEnd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 xml:space="preserve"> при </w:t>
      </w:r>
      <w:proofErr w:type="spellStart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>виявленні</w:t>
      </w:r>
      <w:proofErr w:type="spellEnd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>випадку</w:t>
      </w:r>
      <w:proofErr w:type="spellEnd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>булінгу</w:t>
      </w:r>
      <w:proofErr w:type="spellEnd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 xml:space="preserve">, </w:t>
      </w:r>
      <w:proofErr w:type="spellStart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>або</w:t>
      </w:r>
      <w:proofErr w:type="spellEnd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>спробі</w:t>
      </w:r>
      <w:proofErr w:type="spellEnd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>його</w:t>
      </w:r>
      <w:proofErr w:type="spellEnd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>приховування</w:t>
      </w:r>
      <w:proofErr w:type="spellEnd"/>
      <w:r w:rsidRPr="007A17ED">
        <w:rPr>
          <w:rFonts w:ascii="Times New Roman" w:eastAsia="Times New Roman" w:hAnsi="Times New Roman" w:cs="Times New Roman"/>
          <w:b/>
          <w:i/>
          <w:color w:val="13385C"/>
          <w:spacing w:val="-15"/>
          <w:sz w:val="56"/>
          <w:szCs w:val="76"/>
          <w:u w:val="single"/>
          <w:lang w:eastAsia="ru-RU"/>
        </w:rPr>
        <w:t>:</w:t>
      </w:r>
    </w:p>
    <w:p w:rsidR="007A17ED" w:rsidRDefault="007A17ED" w:rsidP="007A17ED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color w:val="13385C"/>
          <w:spacing w:val="-15"/>
          <w:sz w:val="76"/>
          <w:szCs w:val="76"/>
          <w:lang w:val="uk-UA" w:eastAsia="ru-RU"/>
        </w:rPr>
      </w:pPr>
    </w:p>
    <w:p w:rsidR="007A17ED" w:rsidRPr="007A17ED" w:rsidRDefault="007A17ED" w:rsidP="007A17ED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</w:pP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 xml:space="preserve">Згідно Закону України від 18 грудня 2018 року №8584 «Про внесення змін до деяких законодавчих актів щодо протидії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булінгу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», який</w:t>
      </w: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uk-UA" w:eastAsia="ru-RU"/>
        </w:rPr>
        <w:t>вперше</w:t>
      </w:r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в українському законодавстві юридично</w:t>
      </w: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uk-UA" w:eastAsia="ru-RU"/>
        </w:rPr>
        <w:t xml:space="preserve">визнає поняття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uk-UA" w:eastAsia="ru-RU"/>
        </w:rPr>
        <w:t>булінгу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uk-UA" w:eastAsia="ru-RU"/>
        </w:rPr>
        <w:t xml:space="preserve"> та передбачає відповідальність</w:t>
      </w: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 xml:space="preserve">не тільки за вчинення, але й за приховування випадків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булінгу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.</w:t>
      </w:r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1.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Відповідальність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передбачена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за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вчинення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бул</w:t>
      </w:r>
      <w:proofErr w:type="gram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інгу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.</w:t>
      </w:r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Положеннями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статті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173-4 Кодексу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України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proofErr w:type="gram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</w:t>
      </w:r>
      <w:proofErr w:type="gram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іністративні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правопорушення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визначено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адміністративна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відповідальність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встановлюється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булінг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цькування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учасника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освітнього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процесу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який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являє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собою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діяння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учасників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освітнього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процесу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які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полягають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психологічному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фізичному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економічному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сексуальному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насильстві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у тому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числі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із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застосуванням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засобів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електронних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комунікацій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вчиняються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стосовно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малолітньої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неповнолітньої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особи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такою особою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стосовно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інших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учасників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освітнього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процесу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внаслідок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чого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могла</w:t>
      </w:r>
      <w:proofErr w:type="gram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бути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була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заподіяна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шкода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психічному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фізичному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здоров’ю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потерпілого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2.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Види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покарань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бул</w:t>
      </w:r>
      <w:proofErr w:type="gram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інг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передбачено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вказаною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статтею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:</w:t>
      </w:r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штрафи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850 до 3400 грн.;</w:t>
      </w:r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громадські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роботи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20 до 60 год</w:t>
      </w:r>
      <w:proofErr w:type="gram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.;</w:t>
      </w:r>
      <w:proofErr w:type="gramEnd"/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виправні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роботи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1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місяця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Так, за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булінг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стосовно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малолітньої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неповнолітньої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особи,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такою особою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стосовно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інших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учасників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освітнього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процесу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внаслідок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чого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могла</w:t>
      </w:r>
      <w:proofErr w:type="gram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бути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була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заподіяна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шкода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психічному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фізичному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здоров’ю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будуть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штрафувати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розміром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50 до 100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неоподатковуваних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мінімумів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доходів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громадян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(850-1700 грн.),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кривдник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отримає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громадські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роботи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</w:t>
      </w:r>
      <w:proofErr w:type="gram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строк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20 до 40 годин.</w:t>
      </w:r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 </w:t>
      </w:r>
      <w:proofErr w:type="spellStart"/>
      <w:proofErr w:type="gram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</w:t>
      </w:r>
      <w:proofErr w:type="gram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інг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вчинений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групою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осіб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повторно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протягом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року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після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накладення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адміністративного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стягнення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потягне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 собою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покарання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вигляді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штрафу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100 до 200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неоподатковуваних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мінімумів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доходів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громадян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(1700-3400 грн.),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громадські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роботи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</w:t>
      </w:r>
      <w:proofErr w:type="gram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строк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60 до 60 годин.</w:t>
      </w:r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малолітніх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дітей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кривдників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(до 14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років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 та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неповнолітніх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віком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14 до 16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років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відповідатимуть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їх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батьки,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особи,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їх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замінюють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цькування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їх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дітьми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інших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учасникі</w:t>
      </w:r>
      <w:proofErr w:type="gram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proofErr w:type="spellEnd"/>
      <w:proofErr w:type="gram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освітнього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процесу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виллється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 у:</w:t>
      </w:r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штраф,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50 до 100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неоподатковуваних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мінімумів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доходів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громадян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(850 – 1700 грн.),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громадські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роботи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</w:t>
      </w:r>
      <w:proofErr w:type="gram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строк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20 до 40 годин.</w:t>
      </w:r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Якщо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ж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їх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вчинять </w:t>
      </w:r>
      <w:proofErr w:type="spellStart"/>
      <w:proofErr w:type="gram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</w:t>
      </w:r>
      <w:proofErr w:type="gram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інг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групою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осіб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повторно (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тобто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протягом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року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після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накладення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адміністративного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стягнення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їх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батьки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законні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представники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можуть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отримати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вдвічі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більші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покарання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ніж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вказано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вище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3.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Покарання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за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приховування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випадків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бул</w:t>
      </w:r>
      <w:proofErr w:type="gram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інгу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.</w:t>
      </w:r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Водночас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законом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визначено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покарання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за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приховування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випадків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бул</w:t>
      </w:r>
      <w:proofErr w:type="gramEnd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інгу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педагогічним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науково-педагогічним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науковим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працівником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керівником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засновником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закладу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освіти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Так, 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неповідомлення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керівником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закладу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освіти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уповноваженим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proofErr w:type="gram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ідрозділам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Національної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поліції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України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випадки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булінгу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тягне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 собою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накладення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штрафу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850 до 1700 грн.,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виправні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роботи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строк до одного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місяця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відрахуванням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20%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заробітку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Тому,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педагогічним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працівникам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керівникам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закладів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освіти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слід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уважно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7A17ED" w:rsidRPr="007A17ED" w:rsidRDefault="007A17ED" w:rsidP="007A17ED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ставитись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всіх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випадків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</w:t>
      </w:r>
      <w:proofErr w:type="gram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інгу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7A17ED" w:rsidRPr="007A17ED" w:rsidRDefault="007A17ED" w:rsidP="007A17ED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повідомляти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 них;</w:t>
      </w:r>
    </w:p>
    <w:p w:rsidR="007A17ED" w:rsidRPr="007A17ED" w:rsidRDefault="007A17ED" w:rsidP="007A17ED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уважно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розглядати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заяви;</w:t>
      </w:r>
    </w:p>
    <w:p w:rsidR="007A17ED" w:rsidRPr="007A17ED" w:rsidRDefault="007A17ED" w:rsidP="007A17ED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забезпечувати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вжиття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заходів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щодо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протидії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</w:t>
      </w:r>
      <w:proofErr w:type="gram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інгу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7A17ED" w:rsidRPr="007A17ED" w:rsidRDefault="007A17ED" w:rsidP="007A17ED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розробляти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7A17ED" w:rsidRPr="007A17ED" w:rsidRDefault="007A17ED" w:rsidP="007A17ED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публікувати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їх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сайтах;</w:t>
      </w:r>
    </w:p>
    <w:p w:rsidR="007A17ED" w:rsidRPr="007A17ED" w:rsidRDefault="007A17ED" w:rsidP="007A17ED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вчасно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інформувати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Національної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поліції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службу у справах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дітей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випадки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</w:t>
      </w:r>
      <w:proofErr w:type="gram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інгу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7A17ED" w:rsidRPr="007A17ED" w:rsidRDefault="007A17ED" w:rsidP="007A17E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іншому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випадку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передбачена</w:t>
      </w:r>
      <w:proofErr w:type="spellEnd"/>
      <w:r w:rsidRPr="007A17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spellStart"/>
      <w:proofErr w:type="gramStart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</w:t>
      </w:r>
      <w:proofErr w:type="gramEnd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іністративна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відповідальність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за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приховування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таких </w:t>
      </w:r>
      <w:proofErr w:type="spellStart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ситуацій</w:t>
      </w:r>
      <w:proofErr w:type="spellEnd"/>
      <w:r w:rsidRPr="007A17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p w:rsidR="009176DE" w:rsidRPr="007A17ED" w:rsidRDefault="009176DE" w:rsidP="007A17E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9176DE" w:rsidRPr="007A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6C0"/>
    <w:multiLevelType w:val="multilevel"/>
    <w:tmpl w:val="B860C6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A3"/>
    <w:rsid w:val="007A17ED"/>
    <w:rsid w:val="008A76A3"/>
    <w:rsid w:val="0091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7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8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6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9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6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7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2021-11-05T12:54:00Z</dcterms:created>
  <dcterms:modified xsi:type="dcterms:W3CDTF">2021-11-05T12:56:00Z</dcterms:modified>
</cp:coreProperties>
</file>