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48" w:rsidRPr="007D1248" w:rsidRDefault="007D1248" w:rsidP="007D1248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Arial" w:eastAsia="Times New Roman" w:hAnsi="Arial" w:cs="Arial"/>
          <w:caps/>
          <w:color w:val="000000"/>
          <w:spacing w:val="45"/>
          <w:kern w:val="36"/>
          <w:sz w:val="50"/>
          <w:szCs w:val="50"/>
          <w:lang w:eastAsia="ru-RU"/>
        </w:rPr>
      </w:pPr>
      <w:r w:rsidRPr="007D1248">
        <w:rPr>
          <w:rFonts w:ascii="Arial" w:eastAsia="Times New Roman" w:hAnsi="Arial" w:cs="Arial"/>
          <w:caps/>
          <w:color w:val="000000"/>
          <w:spacing w:val="45"/>
          <w:kern w:val="36"/>
          <w:sz w:val="50"/>
          <w:szCs w:val="50"/>
          <w:lang w:eastAsia="ru-RU"/>
        </w:rPr>
        <w:t>ДЕРЖАВНИЙ СТАНДАРТ БАЗОВОЇ СЕРЕДНЬОЇ ОСВІТИ</w:t>
      </w:r>
    </w:p>
    <w:p w:rsidR="007D1248" w:rsidRPr="007D1248" w:rsidRDefault="007D1248" w:rsidP="007D124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Державний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стандарт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визначає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мету та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принципи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освітнього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процесу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закладах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базової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середньої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освіти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дає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загальну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характеристику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змісту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навчання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пояснює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вимоги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обов’язкових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результатів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навчання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орієнтири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їхнього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оцінювання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Документ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було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затверджено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30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вересня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2020 року.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Державний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стандарт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базової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середньої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освіти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"https://www.kmu.gov.ua/npas/pro-deyaki-pitannya-derzhavnih-standartiv-povnoyi-zagalnoyi-serednoyi-osviti-i300920-898" </w:instrText>
      </w:r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D1248">
        <w:rPr>
          <w:rFonts w:ascii="Arial" w:eastAsia="Times New Roman" w:hAnsi="Arial" w:cs="Arial"/>
          <w:color w:val="3849F9"/>
          <w:sz w:val="21"/>
          <w:szCs w:val="21"/>
          <w:u w:val="single"/>
          <w:bdr w:val="none" w:sz="0" w:space="0" w:color="auto" w:frame="1"/>
          <w:lang w:eastAsia="ru-RU"/>
        </w:rPr>
        <w:t>оприлюднено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сайті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Кабінету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Міні</w:t>
      </w:r>
      <w:proofErr w:type="gram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стр</w:t>
      </w:r>
      <w:proofErr w:type="gram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ів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7D1248" w:rsidRPr="007D1248" w:rsidRDefault="007D1248" w:rsidP="007D124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Перелік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ключових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компетентностей та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наскрізних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умінь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закладений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в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Державний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стандарт,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базується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на «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Рекомендаціях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Європейського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Парламенту та</w:t>
      </w:r>
      <w:proofErr w:type="gram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Р</w:t>
      </w:r>
      <w:proofErr w:type="gram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ади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Європейського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Союзу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щодо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формування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ключових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компетентностей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впродовж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життя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».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Завдяки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</w:t>
      </w:r>
      <w:proofErr w:type="gram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ідтримці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Європейського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фонду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за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безпосередньої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участі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провідних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європейських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експертів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  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ці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рекомендації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пов'язані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з ними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європейські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документи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(так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звані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“Рамки компетентностей”)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ретельно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опрацьовувала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команда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авторів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документа. </w:t>
      </w:r>
    </w:p>
    <w:p w:rsidR="007D1248" w:rsidRPr="007D1248" w:rsidRDefault="007D1248" w:rsidP="007D124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розробки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Державного стандарту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були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залучені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міжнародні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експерти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проєктів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«Нова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українська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школа – 2» (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Польща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), «Демократична школа»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Європейського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Центру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імені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Вергеланда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Норвегія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), «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Фінська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ідтримка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реформи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української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школи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(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Фінляндія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7D1248" w:rsidRPr="007D1248" w:rsidRDefault="007D1248" w:rsidP="007D124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D1248" w:rsidRPr="007D1248" w:rsidRDefault="007D1248" w:rsidP="007D1248">
      <w:pPr>
        <w:shd w:val="clear" w:color="auto" w:fill="FFFFFF"/>
        <w:spacing w:after="0" w:line="420" w:lineRule="atLeast"/>
        <w:jc w:val="both"/>
        <w:textAlignment w:val="baseline"/>
        <w:outlineLvl w:val="3"/>
        <w:rPr>
          <w:rFonts w:ascii="Arial" w:eastAsia="Times New Roman" w:hAnsi="Arial" w:cs="Arial"/>
          <w:caps/>
          <w:color w:val="000000"/>
          <w:spacing w:val="45"/>
          <w:sz w:val="32"/>
          <w:szCs w:val="32"/>
          <w:lang w:eastAsia="ru-RU"/>
        </w:rPr>
      </w:pPr>
      <w:r w:rsidRPr="007D1248">
        <w:rPr>
          <w:rFonts w:ascii="Arial" w:eastAsia="Times New Roman" w:hAnsi="Arial" w:cs="Arial"/>
          <w:b/>
          <w:bCs/>
          <w:caps/>
          <w:color w:val="000000"/>
          <w:spacing w:val="45"/>
          <w:sz w:val="32"/>
          <w:szCs w:val="32"/>
          <w:bdr w:val="none" w:sz="0" w:space="0" w:color="auto" w:frame="1"/>
          <w:lang w:eastAsia="ru-RU"/>
        </w:rPr>
        <w:t>ОСВІТНІ ГАЛУЗІ </w:t>
      </w:r>
    </w:p>
    <w:p w:rsidR="007D1248" w:rsidRPr="007D1248" w:rsidRDefault="007D1248" w:rsidP="007D124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 Державному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стандарті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немає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поділу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натомість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є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освітні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галузі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означа</w:t>
      </w:r>
      <w:proofErr w:type="gram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є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  <w:proofErr w:type="gram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розробники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освітніх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навчальних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зможуть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як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втілювати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певну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навчальну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галузь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через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окремий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предмет, так і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комбінувати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інтеграції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7D1248" w:rsidRPr="007D1248" w:rsidRDefault="007D1248" w:rsidP="007D124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Документ </w:t>
      </w:r>
      <w:proofErr w:type="spellStart"/>
      <w:proofErr w:type="gram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містить</w:t>
      </w:r>
      <w:proofErr w:type="spellEnd"/>
      <w:proofErr w:type="gram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компетентнісного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потенціалу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вимоги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обов’язкового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навчання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учнів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9-ти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галузях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освіти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 </w:t>
      </w:r>
    </w:p>
    <w:p w:rsidR="007D1248" w:rsidRPr="007D1248" w:rsidRDefault="007D1248" w:rsidP="007D1248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мовно-літературній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3"/>
        </w:numPr>
        <w:shd w:val="clear" w:color="auto" w:fill="FFFFFF"/>
        <w:spacing w:before="100" w:beforeAutospacing="1" w:after="192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математичній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природничій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3"/>
        </w:numPr>
        <w:shd w:val="clear" w:color="auto" w:fill="FFFFFF"/>
        <w:spacing w:before="100" w:beforeAutospacing="1" w:after="192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технологічній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інформатичній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3"/>
        </w:numPr>
        <w:shd w:val="clear" w:color="auto" w:fill="FFFFFF"/>
        <w:spacing w:before="100" w:beforeAutospacing="1" w:after="192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</w:t>
      </w:r>
      <w:proofErr w:type="gram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іальній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здоров’язбережувальній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громадянській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та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історичній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3"/>
        </w:numPr>
        <w:shd w:val="clear" w:color="auto" w:fill="FFFFFF"/>
        <w:spacing w:before="100" w:beforeAutospacing="1" w:after="192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мистецькій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фізичній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культурі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7D1248" w:rsidRPr="007D1248" w:rsidRDefault="007D1248" w:rsidP="007D124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кожної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галузі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Державний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стандарт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описує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мету і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групи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загальних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результатів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уточнюються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через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обов’язкові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gram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кожного</w:t>
      </w:r>
      <w:proofErr w:type="gram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циклів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Саме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тому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кожна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освітня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галузь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має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потенціал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розвитку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кожної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компетентності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7D1248" w:rsidRPr="007D1248" w:rsidRDefault="007D1248" w:rsidP="007D124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D1248" w:rsidRPr="007D1248" w:rsidRDefault="007D1248" w:rsidP="007D1248">
      <w:pPr>
        <w:shd w:val="clear" w:color="auto" w:fill="FFFFFF"/>
        <w:spacing w:after="0" w:line="420" w:lineRule="atLeast"/>
        <w:jc w:val="both"/>
        <w:textAlignment w:val="baseline"/>
        <w:outlineLvl w:val="3"/>
        <w:rPr>
          <w:rFonts w:ascii="Arial" w:eastAsia="Times New Roman" w:hAnsi="Arial" w:cs="Arial"/>
          <w:caps/>
          <w:color w:val="000000"/>
          <w:spacing w:val="45"/>
          <w:sz w:val="32"/>
          <w:szCs w:val="32"/>
          <w:lang w:eastAsia="ru-RU"/>
        </w:rPr>
      </w:pPr>
      <w:r w:rsidRPr="007D1248">
        <w:rPr>
          <w:rFonts w:ascii="Arial" w:eastAsia="Times New Roman" w:hAnsi="Arial" w:cs="Arial"/>
          <w:b/>
          <w:bCs/>
          <w:caps/>
          <w:color w:val="000000"/>
          <w:spacing w:val="45"/>
          <w:sz w:val="32"/>
          <w:szCs w:val="32"/>
          <w:bdr w:val="none" w:sz="0" w:space="0" w:color="auto" w:frame="1"/>
          <w:lang w:eastAsia="ru-RU"/>
        </w:rPr>
        <w:t>КЛЮЧОВІ КОМПЕТЕНТНОСТІ</w:t>
      </w:r>
    </w:p>
    <w:p w:rsidR="007D1248" w:rsidRPr="007D1248" w:rsidRDefault="007D1248" w:rsidP="007D124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чітко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окреслено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ключові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компетентності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якими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мають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оволодіти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школярі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ісля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закінчення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кожного з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двох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циклів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адаптаційного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(5-6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класи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 і базового предметного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навчання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(7-9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класи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), та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наскрізні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вміння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7D1248" w:rsidRPr="007D1248" w:rsidRDefault="007D1248" w:rsidP="007D124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Перелік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основних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компетентностей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виглядає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так: </w:t>
      </w:r>
    </w:p>
    <w:p w:rsidR="007D1248" w:rsidRPr="007D1248" w:rsidRDefault="007D1248" w:rsidP="007D1248">
      <w:pPr>
        <w:numPr>
          <w:ilvl w:val="0"/>
          <w:numId w:val="4"/>
        </w:numPr>
        <w:shd w:val="clear" w:color="auto" w:fill="FFFFFF"/>
        <w:spacing w:before="100" w:beforeAutospacing="1" w:after="75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gram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ільне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володіння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державною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мовою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4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здатність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спілкуватися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</w:t>
      </w:r>
      <w:proofErr w:type="gram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ідною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(у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разі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відмінності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від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державної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) та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іноземними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мовами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4"/>
        </w:numPr>
        <w:shd w:val="clear" w:color="auto" w:fill="FFFFFF"/>
        <w:spacing w:before="100" w:beforeAutospacing="1" w:after="75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математична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компетентність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4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компетентності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у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галузі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природничих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наук, </w:t>
      </w:r>
      <w:proofErr w:type="spellStart"/>
      <w:proofErr w:type="gram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техн</w:t>
      </w:r>
      <w:proofErr w:type="gram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іки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і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технологій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4"/>
        </w:numPr>
        <w:shd w:val="clear" w:color="auto" w:fill="FFFFFF"/>
        <w:spacing w:before="100" w:beforeAutospacing="1" w:after="75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інноваційність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4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екологічна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компетентність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4"/>
        </w:numPr>
        <w:shd w:val="clear" w:color="auto" w:fill="FFFFFF"/>
        <w:spacing w:before="100" w:beforeAutospacing="1" w:after="75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інформаційно-комунікаційна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компетентність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4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навчання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впродовж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життя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4"/>
        </w:numPr>
        <w:shd w:val="clear" w:color="auto" w:fill="FFFFFF"/>
        <w:spacing w:before="100" w:beforeAutospacing="1" w:after="75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громадянські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proofErr w:type="gram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</w:t>
      </w:r>
      <w:proofErr w:type="gram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іальні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компетентності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4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культурна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компетентність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4"/>
        </w:numPr>
        <w:shd w:val="clear" w:color="auto" w:fill="FFFFFF"/>
        <w:spacing w:before="100" w:beforeAutospacing="1" w:after="75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</w:t>
      </w:r>
      <w:proofErr w:type="gram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ідприємливість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фінансова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грамотність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7D1248" w:rsidRPr="007D1248" w:rsidRDefault="007D1248" w:rsidP="007D124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D1248" w:rsidRPr="007D1248" w:rsidRDefault="007D1248" w:rsidP="007D1248">
      <w:pPr>
        <w:shd w:val="clear" w:color="auto" w:fill="FFFFFF"/>
        <w:spacing w:after="0" w:line="420" w:lineRule="atLeast"/>
        <w:jc w:val="both"/>
        <w:textAlignment w:val="baseline"/>
        <w:outlineLvl w:val="3"/>
        <w:rPr>
          <w:rFonts w:ascii="Arial" w:eastAsia="Times New Roman" w:hAnsi="Arial" w:cs="Arial"/>
          <w:caps/>
          <w:color w:val="000000"/>
          <w:spacing w:val="45"/>
          <w:sz w:val="32"/>
          <w:szCs w:val="32"/>
          <w:lang w:eastAsia="ru-RU"/>
        </w:rPr>
      </w:pPr>
      <w:r w:rsidRPr="007D1248">
        <w:rPr>
          <w:rFonts w:ascii="Arial" w:eastAsia="Times New Roman" w:hAnsi="Arial" w:cs="Arial"/>
          <w:b/>
          <w:bCs/>
          <w:caps/>
          <w:color w:val="000000"/>
          <w:spacing w:val="45"/>
          <w:sz w:val="32"/>
          <w:szCs w:val="32"/>
          <w:bdr w:val="none" w:sz="0" w:space="0" w:color="auto" w:frame="1"/>
          <w:lang w:eastAsia="ru-RU"/>
        </w:rPr>
        <w:t>НАСКРІЗНІ ВМІННЯ</w:t>
      </w:r>
    </w:p>
    <w:p w:rsidR="007D1248" w:rsidRPr="007D1248" w:rsidRDefault="007D1248" w:rsidP="007D124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Наскрізні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вміння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формуються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всіх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інтегрованих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курсах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предметах. </w:t>
      </w:r>
      <w:proofErr w:type="gram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Вони</w:t>
      </w:r>
      <w:proofErr w:type="gram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є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спільними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всіх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компетентностей.</w:t>
      </w:r>
    </w:p>
    <w:p w:rsidR="007D1248" w:rsidRPr="007D1248" w:rsidRDefault="007D1248" w:rsidP="007D124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Перелік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наскрізних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умінь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:</w:t>
      </w:r>
    </w:p>
    <w:p w:rsidR="007D1248" w:rsidRPr="007D1248" w:rsidRDefault="007D1248" w:rsidP="007D1248">
      <w:pPr>
        <w:numPr>
          <w:ilvl w:val="0"/>
          <w:numId w:val="5"/>
        </w:numPr>
        <w:shd w:val="clear" w:color="auto" w:fill="FFFFFF"/>
        <w:spacing w:before="100" w:beforeAutospacing="1" w:after="75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читати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розумінням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5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висловлювати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власну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думку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усно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і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письмово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5"/>
        </w:numPr>
        <w:shd w:val="clear" w:color="auto" w:fill="FFFFFF"/>
        <w:spacing w:before="100" w:beforeAutospacing="1" w:after="75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критично та системно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мислити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5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діяти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творчо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5"/>
        </w:numPr>
        <w:shd w:val="clear" w:color="auto" w:fill="FFFFFF"/>
        <w:spacing w:before="100" w:beforeAutospacing="1" w:after="75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виявляти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ініціативність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5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здатність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логічно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обґрунтувати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позицію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5"/>
        </w:numPr>
        <w:shd w:val="clear" w:color="auto" w:fill="FFFFFF"/>
        <w:spacing w:before="100" w:beforeAutospacing="1" w:after="75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конструктивно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керувати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емоціями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</w:p>
    <w:p w:rsidR="007D1248" w:rsidRPr="007D1248" w:rsidRDefault="007D1248" w:rsidP="007D1248">
      <w:pPr>
        <w:numPr>
          <w:ilvl w:val="0"/>
          <w:numId w:val="5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оцінювати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ризики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5"/>
        </w:numPr>
        <w:shd w:val="clear" w:color="auto" w:fill="FFFFFF"/>
        <w:spacing w:before="100" w:beforeAutospacing="1" w:after="75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приймати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</w:t>
      </w:r>
      <w:proofErr w:type="gram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ішення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</w:p>
    <w:p w:rsidR="007D1248" w:rsidRPr="007D1248" w:rsidRDefault="007D1248" w:rsidP="007D1248">
      <w:pPr>
        <w:numPr>
          <w:ilvl w:val="0"/>
          <w:numId w:val="5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розв’язувати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проблеми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7D1248" w:rsidRPr="007D1248" w:rsidRDefault="007D1248" w:rsidP="007D124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D1248" w:rsidRPr="007D1248" w:rsidRDefault="007D1248" w:rsidP="007D1248">
      <w:pPr>
        <w:shd w:val="clear" w:color="auto" w:fill="FFFFFF"/>
        <w:spacing w:after="0" w:line="420" w:lineRule="atLeast"/>
        <w:jc w:val="both"/>
        <w:textAlignment w:val="baseline"/>
        <w:outlineLvl w:val="3"/>
        <w:rPr>
          <w:rFonts w:ascii="Arial" w:eastAsia="Times New Roman" w:hAnsi="Arial" w:cs="Arial"/>
          <w:caps/>
          <w:color w:val="000000"/>
          <w:spacing w:val="45"/>
          <w:sz w:val="32"/>
          <w:szCs w:val="32"/>
          <w:lang w:eastAsia="ru-RU"/>
        </w:rPr>
      </w:pPr>
      <w:r w:rsidRPr="007D1248">
        <w:rPr>
          <w:rFonts w:ascii="Arial" w:eastAsia="Times New Roman" w:hAnsi="Arial" w:cs="Arial"/>
          <w:b/>
          <w:bCs/>
          <w:caps/>
          <w:color w:val="000000"/>
          <w:spacing w:val="45"/>
          <w:sz w:val="32"/>
          <w:szCs w:val="32"/>
          <w:bdr w:val="none" w:sz="0" w:space="0" w:color="auto" w:frame="1"/>
          <w:lang w:eastAsia="ru-RU"/>
        </w:rPr>
        <w:t>БАЗОВИЙ НАВЧАЛЬНИЙ ПЛАН</w:t>
      </w:r>
    </w:p>
    <w:p w:rsidR="007D1248" w:rsidRPr="007D1248" w:rsidRDefault="007D1248" w:rsidP="007D124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Державний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стандарт </w:t>
      </w:r>
      <w:proofErr w:type="spellStart"/>
      <w:proofErr w:type="gram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містить</w:t>
      </w:r>
      <w:proofErr w:type="spellEnd"/>
      <w:proofErr w:type="gram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7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варіантів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базових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навчальних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планів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відповідно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до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освітніх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потреб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здобувачів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освіти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7D1248" w:rsidRPr="007D1248" w:rsidRDefault="007D1248" w:rsidP="007D124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З-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поміж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них –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базові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навчальні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закладів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загальної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середньої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освіти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класів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груп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),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спеціальних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закладі</w:t>
      </w:r>
      <w:proofErr w:type="gram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spellEnd"/>
      <w:proofErr w:type="gram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спеціальних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класів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груп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):</w:t>
      </w:r>
    </w:p>
    <w:p w:rsidR="007D1248" w:rsidRPr="007D1248" w:rsidRDefault="007D1248" w:rsidP="007D1248">
      <w:pPr>
        <w:numPr>
          <w:ilvl w:val="0"/>
          <w:numId w:val="6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з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українською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мовою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навчання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6"/>
        </w:numPr>
        <w:shd w:val="clear" w:color="auto" w:fill="FFFFFF"/>
        <w:spacing w:before="100" w:beforeAutospacing="1" w:after="75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навчанням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мовою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корінного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народу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національної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меншини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7D1248" w:rsidRPr="007D1248" w:rsidRDefault="007D1248" w:rsidP="007D1248">
      <w:pPr>
        <w:numPr>
          <w:ilvl w:val="0"/>
          <w:numId w:val="6"/>
        </w:numPr>
        <w:shd w:val="clear" w:color="auto" w:fill="FFFFFF"/>
        <w:spacing w:beforeAutospacing="1" w:after="0" w:line="300" w:lineRule="atLeast"/>
        <w:ind w:left="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з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українською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мовою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навчання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і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вивченням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мови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корінного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народу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або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національної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меншини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.</w:t>
      </w:r>
    </w:p>
    <w:p w:rsidR="007D1248" w:rsidRPr="007D1248" w:rsidRDefault="007D1248" w:rsidP="007D124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Також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частиною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стандарту є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базові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навчальні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учнів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порушеннями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інтелектуального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розвитку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7D1248" w:rsidRPr="007D1248" w:rsidRDefault="007D1248" w:rsidP="007D12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Базовий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навчальний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план 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описує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загальний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обсяг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навчального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навантаження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розподілений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освітніми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галузями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: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рекомендовану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мінімальну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максимальну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кількість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навчальних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годин за </w:t>
      </w:r>
      <w:proofErr w:type="gram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кожною</w:t>
      </w:r>
      <w:proofErr w:type="gram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галузей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загалом</w:t>
      </w:r>
      <w:proofErr w:type="spellEnd"/>
      <w:r w:rsidRPr="007D12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D26C91" w:rsidRDefault="00D26C91"/>
    <w:sectPr w:rsidR="00D26C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A6E"/>
    <w:multiLevelType w:val="multilevel"/>
    <w:tmpl w:val="372C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41DD7"/>
    <w:multiLevelType w:val="multilevel"/>
    <w:tmpl w:val="CCDA7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812BD"/>
    <w:multiLevelType w:val="multilevel"/>
    <w:tmpl w:val="3A00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B5146"/>
    <w:multiLevelType w:val="multilevel"/>
    <w:tmpl w:val="84B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781396"/>
    <w:multiLevelType w:val="multilevel"/>
    <w:tmpl w:val="2A6C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D1DA4"/>
    <w:multiLevelType w:val="multilevel"/>
    <w:tmpl w:val="9710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6E"/>
    <w:rsid w:val="007D1248"/>
    <w:rsid w:val="00C17A6E"/>
    <w:rsid w:val="00D2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790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2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2023-04-04T13:07:00Z</dcterms:created>
  <dcterms:modified xsi:type="dcterms:W3CDTF">2023-04-04T13:07:00Z</dcterms:modified>
</cp:coreProperties>
</file>