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0D" w:rsidRPr="00911C2D" w:rsidRDefault="00911C2D">
      <w:pPr>
        <w:pStyle w:val="normal"/>
        <w:shd w:val="clear" w:color="auto" w:fill="FFFFFF"/>
        <w:spacing w:after="21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МІНІСТЕРСТВО ОСВІТИ І НАУКИ УКРАЇНИ</w:t>
      </w:r>
    </w:p>
    <w:p w:rsidR="00D03D0D" w:rsidRPr="00911C2D" w:rsidRDefault="00911C2D">
      <w:pPr>
        <w:pStyle w:val="normal"/>
        <w:shd w:val="clear" w:color="auto" w:fill="FFFFFF"/>
        <w:spacing w:after="21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НАКАЗ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№ 1154 від 27 серпня 2019 року</w:t>
      </w:r>
    </w:p>
    <w:p w:rsidR="00D03D0D" w:rsidRPr="00911C2D" w:rsidRDefault="00911C2D">
      <w:pPr>
        <w:pStyle w:val="normal"/>
        <w:shd w:val="clear" w:color="auto" w:fill="FFFFFF"/>
        <w:spacing w:after="0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b/>
          <w:color w:val="000000"/>
          <w:sz w:val="28"/>
          <w:szCs w:val="28"/>
        </w:rPr>
        <w:t>Про затвердження методичних рекомендацій</w:t>
      </w:r>
      <w:r w:rsidRPr="00911C2D">
        <w:rPr>
          <w:rFonts w:ascii="Cambria" w:eastAsia="Cambria" w:hAnsi="Cambria" w:cs="Cambria"/>
          <w:b/>
          <w:color w:val="000000"/>
          <w:sz w:val="28"/>
          <w:szCs w:val="28"/>
        </w:rPr>
        <w:br/>
        <w:t>щодо оцінювання навчальних досягнень учнів</w:t>
      </w:r>
      <w:r w:rsidRPr="00911C2D">
        <w:rPr>
          <w:rFonts w:ascii="Cambria" w:eastAsia="Cambria" w:hAnsi="Cambria" w:cs="Cambria"/>
          <w:b/>
          <w:color w:val="000000"/>
          <w:sz w:val="28"/>
          <w:szCs w:val="28"/>
        </w:rPr>
        <w:br/>
        <w:t>другого класу</w:t>
      </w:r>
    </w:p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Відповідно до Державного стандарту початкової освіти, затвердженого постановою Кабінету Міні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стр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ів України від 21.02.2018 </w:t>
      </w:r>
      <w:hyperlink r:id="rId5"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№ 87</w:t>
        </w:r>
      </w:hyperlink>
      <w:r w:rsidRPr="00911C2D">
        <w:rPr>
          <w:rFonts w:ascii="Cambria" w:eastAsia="Cambria" w:hAnsi="Cambria" w:cs="Cambria"/>
          <w:color w:val="000000"/>
          <w:sz w:val="28"/>
          <w:szCs w:val="28"/>
        </w:rPr>
        <w:t> (у редакції постанови Кабінету Міністрів України від 24.07.2019 року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№ 688), НАКАЗУЮ: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1. Затвердити методичні рекомендації щодо оцінювання навчальних досягнень учнів другого класу.</w:t>
      </w:r>
    </w:p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2. Встановити, що орієнтовні вимоги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до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контролю та оцінювання навчальних досягнень учнів початкової школи, затверджені наказом МОН від 21.08.20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13 </w:t>
      </w:r>
      <w:hyperlink r:id="rId6"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№ 1222</w:t>
        </w:r>
      </w:hyperlink>
      <w:r w:rsidRPr="00911C2D">
        <w:rPr>
          <w:rFonts w:ascii="Cambria" w:eastAsia="Cambria" w:hAnsi="Cambria" w:cs="Cambria"/>
          <w:color w:val="000000"/>
          <w:sz w:val="28"/>
          <w:szCs w:val="28"/>
        </w:rPr>
        <w:t> (із змінами), не застосовуються до контролю та оцінювання навчальних досягнень учнів 2-го класу.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3. Департаментам (управлінням) освіти і науки обласних, Київської міської державних адм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іністрацій, Інститутам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іслядипломної педагогічної освіти довести цей наказ до відома керівників закладів загальної середньої освіти.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4. Контроль за виконанням цього наказу покласти на заступника Міністра Карандія В. А.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Міні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стр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                   Лілія Грин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евич</w:t>
      </w:r>
    </w:p>
    <w:p w:rsidR="00911C2D" w:rsidRDefault="00911C2D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br w:type="page"/>
      </w:r>
    </w:p>
    <w:p w:rsidR="00D03D0D" w:rsidRPr="00911C2D" w:rsidRDefault="00911C2D">
      <w:pPr>
        <w:pStyle w:val="normal"/>
        <w:shd w:val="clear" w:color="auto" w:fill="FFFFFF"/>
        <w:spacing w:after="0"/>
        <w:jc w:val="right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>ЗАТВЕРДЖЕНО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br/>
        <w:t>Наказ Міністерства освіти і науки України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br/>
        <w:t>27.08.2019 № 1154</w:t>
      </w:r>
    </w:p>
    <w:p w:rsidR="00D03D0D" w:rsidRPr="00911C2D" w:rsidRDefault="00D03D0D">
      <w:pPr>
        <w:pStyle w:val="normal"/>
        <w:shd w:val="clear" w:color="auto" w:fill="FFFFFF"/>
        <w:spacing w:after="0"/>
        <w:jc w:val="right"/>
        <w:rPr>
          <w:rFonts w:ascii="Cambria" w:eastAsia="Cambria" w:hAnsi="Cambria" w:cs="Cambria"/>
          <w:color w:val="000000"/>
          <w:sz w:val="28"/>
          <w:szCs w:val="28"/>
        </w:rPr>
      </w:pPr>
    </w:p>
    <w:p w:rsidR="00D03D0D" w:rsidRPr="00911C2D" w:rsidRDefault="00911C2D">
      <w:pPr>
        <w:pStyle w:val="normal"/>
        <w:shd w:val="clear" w:color="auto" w:fill="FFFFFF"/>
        <w:spacing w:after="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b/>
          <w:color w:val="000000"/>
          <w:sz w:val="28"/>
          <w:szCs w:val="28"/>
        </w:rPr>
        <w:t>Методичні рекомендації щодо оцінювання навчальних досягнень учнів другого класу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Важливим компонентом освітнього процесу в початкових класах є оцінювальна діяльність, що здійснюєт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ься на засадах компетентнісного, діяльнісного, суб'єкт-суб'єктного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ідходів та передбачає партнерську взаємодію вчителя, учнів та їхніх батьків або інших законних представників (далі - батьки). Основними функціями оцінювання є мотиваційна, діагностична, ко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ригувальна, прогностична, розвивальна, навчальна, виховна, управлінська.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Навчальні досягнення учнів других класів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ідлягають формувальному і підсумковому (тематичному та завершальному) оцінюванню. Оцінювання результатів навчання учні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у других класах здійс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нюється вербально.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Формувальне оцінювання, метою якого є відстеження особистісного розвитку учнів, процесу опанування ними навчального досвіду як основи компетентності, забезпечення індивідуальної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траєктор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ії розвитку особистості, є невід'ємним складником о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світнього процесу та здійснюється постійно.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Формувальне оцінювання передбачає організацію учителем діяльності учнів щодо усвідомлення ними цілей та очікуваних результатів навчання, способів їх досягнення та визначення подальших навчальних дій щодо покращен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ня досягнень за результатами зворотного зв'язку.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Застосування формувального оцінювання уможливлює розв'язання таких освітніх завдань:</w:t>
      </w:r>
    </w:p>
    <w:p w:rsidR="00D03D0D" w:rsidRPr="00911C2D" w:rsidRDefault="00911C2D">
      <w:pPr>
        <w:pStyle w:val="normal"/>
        <w:numPr>
          <w:ilvl w:val="0"/>
          <w:numId w:val="1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ідтримання бажання вчитися та прагнути максимально можливих результатів;</w:t>
      </w:r>
    </w:p>
    <w:p w:rsidR="00D03D0D" w:rsidRPr="00911C2D" w:rsidRDefault="00911C2D">
      <w:pPr>
        <w:pStyle w:val="normal"/>
        <w:numPr>
          <w:ilvl w:val="0"/>
          <w:numId w:val="1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сприяння оптимальному темпу здобуття освіти учні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:rsidR="00D03D0D" w:rsidRPr="00911C2D" w:rsidRDefault="00911C2D">
      <w:pPr>
        <w:pStyle w:val="normal"/>
        <w:numPr>
          <w:ilvl w:val="0"/>
          <w:numId w:val="1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формування в учнів упевненості у собі, усвідомлення своїх сильних сторін;</w:t>
      </w:r>
    </w:p>
    <w:p w:rsidR="00D03D0D" w:rsidRPr="00911C2D" w:rsidRDefault="00911C2D">
      <w:pPr>
        <w:pStyle w:val="normal"/>
        <w:numPr>
          <w:ilvl w:val="0"/>
          <w:numId w:val="1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формування в учнів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рефлексивного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ставлення до власних помилок і розуміння їх як невід'ємних етапів на шляху досягнення успіху;</w:t>
      </w:r>
    </w:p>
    <w:p w:rsidR="00D03D0D" w:rsidRPr="00911C2D" w:rsidRDefault="00911C2D">
      <w:pPr>
        <w:pStyle w:val="normal"/>
        <w:numPr>
          <w:ilvl w:val="0"/>
          <w:numId w:val="1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>забе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зпечення постійного зворотного зв'язку щодо сприйняття та розуміння учнями навчального матеріалу;</w:t>
      </w:r>
    </w:p>
    <w:p w:rsidR="00D03D0D" w:rsidRPr="00911C2D" w:rsidRDefault="00911C2D">
      <w:pPr>
        <w:pStyle w:val="normal"/>
        <w:numPr>
          <w:ilvl w:val="0"/>
          <w:numId w:val="1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здійснення діагностування особистісного розвитку та навчальних досягнень учнів на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кожному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з етапів навчання.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Об'єктами формувального оцінювання є процес навча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ння учнів, а також результат навчальної діяльності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на певному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етапі навчання.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Провідна роль у формувальному оцінюванні належить критеріям, за якими воно здійснюється.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Критерії оцінювання визначаються вчителем (із поступовим залученням до цього процесу учні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в) відповідно до кожного виду роботи та виду діяльності учнів. Орієнтирами для визначення критеріїв формувального оцінювання є вимоги до обов'язкових результатів навчання та компетентностей учнів початкової школи, визначені Державним стандартом початкової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освіти до першого циклу навчання (1 - 2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класи), і очікувані результати, зазначені в освітній програмі закладу загальної середньої освіти.</w:t>
      </w:r>
      <w:proofErr w:type="gramEnd"/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 час здійснення формувального оцінювання важливо не протиставляти дітей один одному. Стимулом розвитку має бути спі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ідношення роботи (відповіді, дії тощо) з тим, як дитина працювала раніше.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Доц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ільно акцентувати увагу лише на позитивній динаміці досягнень учнів, враховувати, що оцінюється не учень, а його робота. Про складнощі у навчанні необхідно говорити з учнем інди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відуально, аби не створювати ситуацію колективної зневаги до дитини та передумови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бул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інгу. Звертаємо увагу, що індивідуальні особливості дитини можуть впливати на її темп здобуття освіти, внаслідок чого вона може досягати визначених для певного етапу навча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ння очікуваних результатів раніше або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ізніше, тому календарно-тематичне планування освітнього процесу має бути гнучким і динамічним, зорієнтованим на сприяння поступу учнів за індивідуальною траєкторією навчання та розвитку.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Формувальне оцінювання здійснюється шляхом:</w:t>
      </w:r>
    </w:p>
    <w:p w:rsidR="00D03D0D" w:rsidRPr="00911C2D" w:rsidRDefault="00911C2D">
      <w:pPr>
        <w:pStyle w:val="normal"/>
        <w:numPr>
          <w:ilvl w:val="0"/>
          <w:numId w:val="2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педагогічного спостереження учителя за навчальною та іншими видами діяльності учні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:rsidR="00D03D0D" w:rsidRPr="00911C2D" w:rsidRDefault="00911C2D">
      <w:pPr>
        <w:pStyle w:val="normal"/>
        <w:numPr>
          <w:ilvl w:val="0"/>
          <w:numId w:val="2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аналізу учнівських портфоліо, попередніх навчальних досягнень учнів, результатів їхніх діагностичних робі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т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:rsidR="00D03D0D" w:rsidRPr="00911C2D" w:rsidRDefault="00911C2D">
      <w:pPr>
        <w:pStyle w:val="normal"/>
        <w:numPr>
          <w:ilvl w:val="0"/>
          <w:numId w:val="2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самооцінювання та в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заємооцінювання результатів діяльності учні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;</w:t>
      </w:r>
    </w:p>
    <w:p w:rsidR="00D03D0D" w:rsidRPr="00911C2D" w:rsidRDefault="00911C2D">
      <w:pPr>
        <w:pStyle w:val="normal"/>
        <w:numPr>
          <w:ilvl w:val="0"/>
          <w:numId w:val="2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оцінювання особистісного розвитку та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соц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іалізації учнів їхніми батьками;</w:t>
      </w:r>
    </w:p>
    <w:p w:rsidR="00D03D0D" w:rsidRPr="00911C2D" w:rsidRDefault="00911C2D">
      <w:pPr>
        <w:pStyle w:val="normal"/>
        <w:numPr>
          <w:ilvl w:val="0"/>
          <w:numId w:val="2"/>
        </w:numPr>
        <w:shd w:val="clear" w:color="auto" w:fill="FFFFFF"/>
        <w:spacing w:before="30" w:after="150"/>
        <w:ind w:left="0"/>
        <w:jc w:val="both"/>
        <w:rPr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застосування прийомів отримання зворотного зв'язку щодо сприйняття та розуміння учнями навчального матеріалу («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ітлофор», «Мікрофон», «В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ихідних квиток» тощо).</w:t>
      </w:r>
    </w:p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У другому класі рекомендуємо дотримуватись алгоритму діяльності вчителя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 час організації формувального оцінювання та використовувати інструментарій формувального оцінювання, що було запропоновано у Методичних рекомендаціях щодо ор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ієнтовних вимог до оцінювання навчальних досягнень учнів першого класу, затверджених наказом Міністерства освіти і науки України від 20.08.2018 </w:t>
      </w:r>
      <w:hyperlink r:id="rId7"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№ 924</w:t>
        </w:r>
      </w:hyperlink>
      <w:r w:rsidRPr="00911C2D"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Педагогічне спостереження за навчальною та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іншими видами діяльності учня здійснюється учителем протягом року. Залежно від мети спостереження, вчитель може оцінювати дітей в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ізноманітних ситуаціях, коли вони працюють в парі, групі, індивідуально. Оцінюються також не тільки навчальні результати учня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, але і його активність, зацікавленість, мотивація, що є також важливими цілями у початковій школі.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Результати педагогічних спостережень (зміни в поведінці учня, його емоційних реакціях, мотивації, вольових проявах, зниження чи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ідвищення результативності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навчальної діяльності тощо) рекомендуємо фіксувати у зошиті спостережень учителя.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Ц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 нотатки дозволять йому під час підготовки до уроку дидактично доцільно визначати навчальні завдання для кожної дитини та під час індивідуальних зустрічей з батьками, аргум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ентовано обговорювати результати навчання учня та способи їх удосконалення, аргументовано робити записи у свідоцтві досягнень на початку та наприкінці навчального року. Зошит спостережень учителя ведеться у довільній формі, є його особистим документом та 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е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ідлягає перевірці з боку адміністрації.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Іншим способом фіксації педагогічних спостережень може бути заповнення індивідуальної картки навчального поступу учня, приклад якої наведено нижче.</w:t>
      </w:r>
    </w:p>
    <w:tbl>
      <w:tblPr>
        <w:tblStyle w:val="a5"/>
        <w:tblW w:w="9367" w:type="dxa"/>
        <w:tblInd w:w="0" w:type="dxa"/>
        <w:tblLayout w:type="fixed"/>
        <w:tblLook w:val="0400"/>
      </w:tblPr>
      <w:tblGrid>
        <w:gridCol w:w="4255"/>
        <w:gridCol w:w="1278"/>
        <w:gridCol w:w="1278"/>
        <w:gridCol w:w="1278"/>
        <w:gridCol w:w="1278"/>
      </w:tblGrid>
      <w:tr w:rsidR="00D03D0D" w:rsidRPr="00911C2D">
        <w:tc>
          <w:tcPr>
            <w:tcW w:w="9368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І</w:t>
            </w:r>
            <w:proofErr w:type="gramStart"/>
            <w:r w:rsidRPr="00911C2D">
              <w:rPr>
                <w:rFonts w:ascii="Cambria" w:eastAsia="Cambria" w:hAnsi="Cambria" w:cs="Cambria"/>
                <w:sz w:val="28"/>
                <w:szCs w:val="28"/>
              </w:rPr>
              <w:t>м’я</w:t>
            </w:r>
            <w:proofErr w:type="gramEnd"/>
            <w:r w:rsidRPr="00911C2D">
              <w:rPr>
                <w:rFonts w:ascii="Cambria" w:eastAsia="Cambria" w:hAnsi="Cambria" w:cs="Cambria"/>
                <w:sz w:val="28"/>
                <w:szCs w:val="28"/>
              </w:rPr>
              <w:t xml:space="preserve"> учня ____________________________________________________________________</w:t>
            </w:r>
          </w:p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++ </w:t>
            </w:r>
            <w:r w:rsidRPr="00911C2D">
              <w:rPr>
                <w:rFonts w:ascii="Cambria" w:eastAsia="Cambria" w:hAnsi="Cambria" w:cs="Cambria"/>
                <w:sz w:val="28"/>
                <w:szCs w:val="28"/>
              </w:rPr>
              <w:t>має значні успіхи; </w:t>
            </w: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+</w:t>
            </w: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демонструє помітний прогрес;</w:t>
            </w:r>
          </w:p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V </w:t>
            </w:r>
            <w:r w:rsidRPr="00911C2D">
              <w:rPr>
                <w:rFonts w:ascii="Cambria" w:eastAsia="Cambria" w:hAnsi="Cambria" w:cs="Cambria"/>
                <w:sz w:val="28"/>
                <w:szCs w:val="28"/>
              </w:rPr>
              <w:t>досягає результату з допомогою вчителя</w:t>
            </w:r>
            <w:proofErr w:type="gramStart"/>
            <w:r w:rsidRPr="00911C2D">
              <w:rPr>
                <w:rFonts w:ascii="Cambria" w:eastAsia="Cambria" w:hAnsi="Cambria" w:cs="Cambria"/>
                <w:sz w:val="28"/>
                <w:szCs w:val="28"/>
              </w:rPr>
              <w:t>; </w:t>
            </w: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! </w:t>
            </w:r>
            <w:proofErr w:type="gramEnd"/>
            <w:r w:rsidRPr="00911C2D">
              <w:rPr>
                <w:rFonts w:ascii="Cambria" w:eastAsia="Cambria" w:hAnsi="Cambria" w:cs="Cambria"/>
                <w:sz w:val="28"/>
                <w:szCs w:val="28"/>
              </w:rPr>
              <w:t>потребує значної уваги і допомоги</w:t>
            </w:r>
          </w:p>
        </w:tc>
      </w:tr>
      <w:tr w:rsidR="00D03D0D" w:rsidRPr="00911C2D">
        <w:tc>
          <w:tcPr>
            <w:tcW w:w="42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ціль/уміння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дата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дата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дата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дата</w:t>
            </w:r>
          </w:p>
        </w:tc>
      </w:tr>
      <w:tr w:rsidR="00D03D0D" w:rsidRPr="00911C2D">
        <w:tc>
          <w:tcPr>
            <w:tcW w:w="42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 xml:space="preserve">Відповідає на питання </w:t>
            </w:r>
            <w:r w:rsidRPr="00911C2D">
              <w:rPr>
                <w:rFonts w:ascii="Cambria" w:eastAsia="Cambria" w:hAnsi="Cambria" w:cs="Cambria"/>
                <w:sz w:val="28"/>
                <w:szCs w:val="28"/>
              </w:rPr>
              <w:lastRenderedPageBreak/>
              <w:t>«так/ні»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+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++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++</w:t>
            </w:r>
          </w:p>
        </w:tc>
      </w:tr>
      <w:tr w:rsidR="00D03D0D" w:rsidRPr="00911C2D">
        <w:tc>
          <w:tcPr>
            <w:tcW w:w="42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lastRenderedPageBreak/>
              <w:t xml:space="preserve">Відповідає </w:t>
            </w:r>
            <w:proofErr w:type="gramStart"/>
            <w:r w:rsidRPr="00911C2D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gramEnd"/>
            <w:r w:rsidRPr="00911C2D">
              <w:rPr>
                <w:rFonts w:ascii="Cambria" w:eastAsia="Cambria" w:hAnsi="Cambria" w:cs="Cambria"/>
                <w:sz w:val="28"/>
                <w:szCs w:val="28"/>
              </w:rPr>
              <w:t xml:space="preserve"> спеціальні питання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!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V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V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b/>
                <w:sz w:val="28"/>
                <w:szCs w:val="28"/>
              </w:rPr>
              <w:t>+</w:t>
            </w:r>
          </w:p>
        </w:tc>
      </w:tr>
      <w:tr w:rsidR="00D03D0D" w:rsidRPr="00911C2D">
        <w:tc>
          <w:tcPr>
            <w:tcW w:w="42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Взаємодіє з іншими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</w:tr>
    </w:tbl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br/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Учитель може самостійно розробити оцінювальний аркуш для групи учнів з метою визначення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івня засвоєння матеріалу кожного розділу відповідно до навчальної програми, визначивши при цьому цілі з кожного аспекту діяльності. Нижче наведено орієнтовну форму так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ого аркуша (на прикладі іноземної мови).</w:t>
      </w:r>
    </w:p>
    <w:tbl>
      <w:tblPr>
        <w:tblStyle w:val="a6"/>
        <w:tblW w:w="9465" w:type="dxa"/>
        <w:tblInd w:w="0" w:type="dxa"/>
        <w:tblLayout w:type="fixed"/>
        <w:tblLook w:val="0400"/>
      </w:tblPr>
      <w:tblGrid>
        <w:gridCol w:w="1398"/>
        <w:gridCol w:w="1641"/>
        <w:gridCol w:w="1465"/>
        <w:gridCol w:w="1459"/>
        <w:gridCol w:w="2155"/>
        <w:gridCol w:w="1347"/>
      </w:tblGrid>
      <w:tr w:rsidR="00D03D0D" w:rsidRPr="00911C2D">
        <w:tc>
          <w:tcPr>
            <w:tcW w:w="9465" w:type="dxa"/>
            <w:gridSpan w:val="6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РОЗДІЛ 7</w:t>
            </w:r>
          </w:p>
        </w:tc>
      </w:tr>
      <w:tr w:rsidR="00D03D0D" w:rsidRPr="00911C2D">
        <w:tc>
          <w:tcPr>
            <w:tcW w:w="13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 w:rsidRPr="00911C2D">
              <w:rPr>
                <w:rFonts w:ascii="Cambria" w:eastAsia="Cambria" w:hAnsi="Cambria" w:cs="Cambria"/>
                <w:sz w:val="28"/>
                <w:szCs w:val="28"/>
              </w:rPr>
              <w:t>Пр</w:t>
            </w:r>
            <w:proofErr w:type="gramEnd"/>
            <w:r w:rsidRPr="00911C2D">
              <w:rPr>
                <w:rFonts w:ascii="Cambria" w:eastAsia="Cambria" w:hAnsi="Cambria" w:cs="Cambria"/>
                <w:sz w:val="28"/>
                <w:szCs w:val="28"/>
              </w:rPr>
              <w:t>ізвище, ім’я учня</w:t>
            </w:r>
          </w:p>
        </w:tc>
        <w:tc>
          <w:tcPr>
            <w:tcW w:w="16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 xml:space="preserve">Лексика: почувши слово, вказує </w:t>
            </w:r>
            <w:proofErr w:type="gramStart"/>
            <w:r w:rsidRPr="00911C2D">
              <w:rPr>
                <w:rFonts w:ascii="Cambria" w:eastAsia="Cambria" w:hAnsi="Cambria" w:cs="Cambria"/>
                <w:sz w:val="28"/>
                <w:szCs w:val="28"/>
              </w:rPr>
              <w:t>на</w:t>
            </w:r>
            <w:proofErr w:type="gramEnd"/>
            <w:r w:rsidRPr="00911C2D">
              <w:rPr>
                <w:rFonts w:ascii="Cambria" w:eastAsia="Cambria" w:hAnsi="Cambria" w:cs="Cambria"/>
                <w:sz w:val="28"/>
                <w:szCs w:val="28"/>
              </w:rPr>
              <w:t xml:space="preserve"> відповідний малюнок</w:t>
            </w:r>
          </w:p>
        </w:tc>
        <w:tc>
          <w:tcPr>
            <w:tcW w:w="1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Лексика: називає зображене</w:t>
            </w:r>
          </w:p>
        </w:tc>
        <w:tc>
          <w:tcPr>
            <w:tcW w:w="145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Усна інтеракція Задає питання і відповідає</w:t>
            </w:r>
          </w:p>
        </w:tc>
        <w:tc>
          <w:tcPr>
            <w:tcW w:w="21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Розігрує сценку, вірно використовуючи слова і фрази</w:t>
            </w:r>
          </w:p>
        </w:tc>
        <w:tc>
          <w:tcPr>
            <w:tcW w:w="13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Читає слова з довгим голосним звуком</w:t>
            </w:r>
          </w:p>
        </w:tc>
      </w:tr>
      <w:tr w:rsidR="00D03D0D" w:rsidRPr="00911C2D">
        <w:tc>
          <w:tcPr>
            <w:tcW w:w="139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1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D03D0D" w:rsidRPr="00911C2D" w:rsidRDefault="00911C2D">
            <w:pPr>
              <w:pStyle w:val="normal"/>
              <w:spacing w:after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911C2D">
              <w:rPr>
                <w:rFonts w:ascii="Cambria" w:eastAsia="Cambria" w:hAnsi="Cambria" w:cs="Cambria"/>
                <w:sz w:val="28"/>
                <w:szCs w:val="28"/>
              </w:rPr>
              <w:t> </w:t>
            </w:r>
          </w:p>
        </w:tc>
      </w:tr>
    </w:tbl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br/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Учнівські портфоліо передбачають систематизацію робіт учнів як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ідчення їхніх успіхів і досягнень. У другому класі діти започатковують ведення портфоліо у вигляді папки з прикріпленими аркушами таблиці для переліку робіт та графою для дати або іншому форм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аті, за спільним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ішенням учителя та учнів. До портфоліо долучають малюнки, діагностичні та інші письмові роботи, їх результати, а також результати творчої та проектної діяльності учнів.</w:t>
      </w:r>
    </w:p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Само- та взаємооцінювання учнів організовується вчителем на регулярні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й основі за визначеними критеріями до умінь, що є наскрізними, та складових компетентностей, залежно від навчального поступу учнів. Шкали для само- та взаємооцінювання рекомендовано застосовувати на вибі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учителя: трирівневу шкалу оцінювання «мені ще варто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попрацювати - я тренуюся - мені вдається»; шкалу, ідентичну до тієї, що застосовується у </w:t>
      </w:r>
      <w:hyperlink r:id="rId8">
        <w:proofErr w:type="gramStart"/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св</w:t>
        </w:r>
        <w:proofErr w:type="gramEnd"/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ідоцтві досягнень</w:t>
        </w:r>
      </w:hyperlink>
      <w:r w:rsidRPr="00911C2D">
        <w:rPr>
          <w:rFonts w:ascii="Cambria" w:eastAsia="Cambria" w:hAnsi="Cambria" w:cs="Cambria"/>
          <w:color w:val="000000"/>
          <w:sz w:val="28"/>
          <w:szCs w:val="28"/>
        </w:rPr>
        <w:t>, затвердженому цим наказом; шкалу, розроблену вчителем самостійно.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ід час взаємооцінювання необхідно приділяти особливу увагу формуванню уміння в учнів коректно висловлювати думку про результати роботи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 xml:space="preserve">однокласників, давати поради щодо їх покращення. Це активізує навчальну роботу, сприяє розвитку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критичного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мислення, фор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муванню адекватного ставлення до зауважень, рекомендацій, зміцнює товариськість та відчуття цінності кожного учня в колективі.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Результати формувального оцінювання відображаються в оцінних судженнях учителя/учнів/батьків, що характеризують процес навчання т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а досягнення учнів. Оцінні судження вчителя мають бути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об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'єктивними, конкретними, чіткими, лаконічними, доброзичливими, слугувати зразком для формулювання оцінних суджень учнями. В оцінному судженні зазначають прогрес учнів та поради щодо подолання утрудне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нь, за їх наявності, у досягненні очікуваних результатів навчання відповідно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до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програмових вимог.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Неприпустимим є формулювання оцінних суджень, що принижують гідність дитини, прирівнювання оцінних суджень до певних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р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івнів навчальних досягнень, а також вик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ористання зовнішніх атрибутів (зірочки, квіточки, прапорці тощо) у разі їх співвіднесення з певними балами чи рівнями навчальних досягнень здобувачів освіти.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Формувальне оцінювання має мотивувати,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ідтримувати й надихати учнів на успіх, саморозвиток і вдос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коналення, вияв власних здобутків у навчальній діяльності та сприяти формуванню навичок застосування знань і умінь під час виконання практико орієнтованих завдань. Воно має бути спрямованим на виявлення проблем і вчасне запобігання їх нашаруванню; стимулюв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ання бажання вчитися та прагнути досягати максимально можливих результатів; запобігання побоюванням помилитися.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ідсумкове тематичне оцінювання навчальних досягнень учнів у другому класі здійснюється протягом навчального року за результатами опанування ним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и теми, кількох тем, розділу програми тощо.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ідсумкове тематичне оці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нювання здійснюється вербально за результатами виконання діагностичних робіт, розроблених на основі компетентнісного підходу, які можуть бути усними чи письмовими у формі тестових завдань, комбінованої роботи, практичної роботи, усного опитування тощо. Фор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ми та засоби оцінювання, змі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ст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завдань учитель обирає самостійно з урахуванням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>особливостей учнів класу. Обсяг діагностичних робіт визначають з розрахунку прогнозованого часу на виконання окремих завдань учнями, з урахуванням вікових та індивідуальних особ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ливостей учнів, їх готовності до виконання того чи іншого завдання. У другому класі тривалість виконання діагностичної роботи не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повинна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перевищувати 35 хвилин (із 40 хвилин уроку 5 хвилин - інструктаж, 35 хвилин - виконання роботи).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Усі діагностичні робот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и проводяться протягом навчального року, дотримуючись структурування програмового матеріалу логічно завершеними частинами. Проведення діагностичних робіт учитель передбачає у календарно-тематичному плані, орієнтуючись на кількість тем у межах кожного предм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ета або результати формувального оцінювання учні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Рекомендовано проводити діагностичні роботи з мовно-літературної, математичної та природничої освітніх галузей.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ід час планування діагностичних робіт з української мови рекомендовано враховувати усі види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мовленнєвої діяльності (аудіювання, читання, говоріння, письмо) та передбачати їх комбінацію (аудіювання, читання вголос, читання напам'ять, переказ, робота з літературним твором/медіатекстом, списування, диктант, робота з мовними одиницями).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Діагностика 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авчальних досягнень з таких освітніх галузей як технологічна, інформатична,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соц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іальна і здоров'язбережувальна, громадянська та історична може відбуватися у складі комплексних робіт із використанням компетентнісних завдань у межах інтегрованого курсу «Я дос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ліджую світ».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Проведення окремих діагностичних робіт з цих освітніх галузей не передбачено.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Діагностичні роботи з мистецької та фізкультурної освітніх галузей, а також курсів за вибором не є обов'язковими у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другому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класі.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Письмові діагностичні роботи учні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виконують у зошитах для діагностичних робіт або на окремих аркушах, бланках тощо. Результатом оцінювання діагностичної роботи є оцінне судження відповідно до шкали оцінювання у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ідоцтві досягнень учнів (згідно з додатком) або інша вербальна оцінка, за виб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ором учителя. У Класному журналі на сторінках «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Обл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ік навчальних досягнень учнів» у графі «Зміст уроку» (права сторінка розвороту журналу) фіксують факт проведення діагностичної роботи, у колонці під датою проведення уроку (ліва сторінка розвороту журналу).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У Класному журналі не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>фіксуються оцінні судження (або інші позначки), що характеризують досягнення учня за результатами діагностичної роботи. Діагностичні роботи та їх результати є відображенням навчального поступу учні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 та можуть зберігатися в учнівськом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у портфоліо.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Документами, які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ідчать про результати навчання учнів і підтверджують факт досягнення ними очікуваних результатів, є робочі зошити учнів, робочі аркуші з виконаними роботами, зошити для діагностичних робіт, учнівські портфоліо. Зошити для ді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агностичних робіт, учнівські портфоліо рекомендовано зберігати у школі.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ідсумкове  завершальне оцінювання навчальних досягнень учнів передбачає узагальнення інформації про їхній навчальний поступ протягом навчального року, при цьому не передбачає проведен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ня окремих діагностичних робіт. Результати підсумкового завершального оцінювання учитель визначає на основі власних педагогічних спостережень, результатів тематичного оцінювання, аналізу учнівських портфоліо та фіксує у Класному журналі і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ідоцтвах досягн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ень.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У Класному журналі на сторінці «Зведений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обл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ік навчальних досягнень учнів» учитель записує рішення педагогічної ради про переведення учнів до наступного класу. У випадку, коли учні не досягли очікуваних результатів навчання, вони можуть продовжувати н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авчання за індивідуальним навчальним планом або бути залишеними на повторний курс навчання за письмовим зверненням батьків. При цьому у Класному журналі на сторінці «Зведений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обл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ік навчальних досягнень учнів» робиться запис з відповідним рішенням педагогіч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ної ради.</w:t>
      </w:r>
    </w:p>
    <w:p w:rsidR="00D03D0D" w:rsidRPr="00911C2D" w:rsidRDefault="00D03D0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hyperlink r:id="rId9">
        <w:proofErr w:type="gramStart"/>
        <w:r w:rsidR="00911C2D" w:rsidRPr="00911C2D">
          <w:rPr>
            <w:rFonts w:ascii="Cambria" w:eastAsia="Cambria" w:hAnsi="Cambria" w:cs="Cambria"/>
            <w:color w:val="8C8282"/>
            <w:sz w:val="28"/>
            <w:szCs w:val="28"/>
          </w:rPr>
          <w:t>Св</w:t>
        </w:r>
        <w:proofErr w:type="gramEnd"/>
        <w:r w:rsidR="00911C2D" w:rsidRPr="00911C2D">
          <w:rPr>
            <w:rFonts w:ascii="Cambria" w:eastAsia="Cambria" w:hAnsi="Cambria" w:cs="Cambria"/>
            <w:color w:val="8C8282"/>
            <w:sz w:val="28"/>
            <w:szCs w:val="28"/>
          </w:rPr>
          <w:t>ідоцтво досягнень</w:t>
        </w:r>
      </w:hyperlink>
      <w:r w:rsidR="00911C2D" w:rsidRPr="00911C2D">
        <w:rPr>
          <w:rFonts w:ascii="Cambria" w:eastAsia="Cambria" w:hAnsi="Cambria" w:cs="Cambria"/>
          <w:color w:val="000000"/>
          <w:sz w:val="28"/>
          <w:szCs w:val="28"/>
        </w:rPr>
        <w:t> заповнюється вчителем двічі на рік. У жовтні заповнюється лише його перша частина, у травні - перша і друга частини.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У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ідоцтві досягнень учитель фіксує р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>озгорнуту інформацію про навчальний поступ учня/учениці у школі протягом навчального року з усіх предметів вивчення за показниками, які відповідають визначеним типовою освітньою програмою очікуваним результатам навчання, та надає рекомендації щодо подальшо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го навчання. Документ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ідписують учитель і батьки. Оригінал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св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ідоцтва досягнень надається батькам, а його завірена копія зберігається в особовій справі учня в школі.</w:t>
      </w:r>
    </w:p>
    <w:p w:rsidR="00D03D0D" w:rsidRPr="00911C2D" w:rsidRDefault="00911C2D">
      <w:pPr>
        <w:pStyle w:val="normal"/>
        <w:shd w:val="clear" w:color="auto" w:fill="FFFFFF"/>
        <w:spacing w:after="21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Інформація про формувальне та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>ідсумкове оцінювання результатів навчання учня є конфіденці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йною. Вона обговорюється лише </w:t>
      </w:r>
      <w:proofErr w:type="gramStart"/>
      <w:r w:rsidRPr="00911C2D">
        <w:rPr>
          <w:rFonts w:ascii="Cambria" w:eastAsia="Cambria" w:hAnsi="Cambria" w:cs="Cambria"/>
          <w:color w:val="000000"/>
          <w:sz w:val="28"/>
          <w:szCs w:val="28"/>
        </w:rPr>
        <w:t>п</w:t>
      </w:r>
      <w:proofErr w:type="gramEnd"/>
      <w:r w:rsidRPr="00911C2D">
        <w:rPr>
          <w:rFonts w:ascii="Cambria" w:eastAsia="Cambria" w:hAnsi="Cambria" w:cs="Cambria"/>
          <w:color w:val="000000"/>
          <w:sz w:val="28"/>
          <w:szCs w:val="28"/>
        </w:rPr>
        <w:t xml:space="preserve">ід час індивідуальних 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lastRenderedPageBreak/>
        <w:t>зустрічей учителя з учнем/ученицею та його/її батьками або консультацій з фахівцями, які беруть участь у розробленні індивідуальної траєкторії розвитку учня.</w:t>
      </w:r>
    </w:p>
    <w:p w:rsidR="00D03D0D" w:rsidRPr="00911C2D" w:rsidRDefault="00911C2D">
      <w:pPr>
        <w:pStyle w:val="normal"/>
        <w:shd w:val="clear" w:color="auto" w:fill="FFFFFF"/>
        <w:spacing w:after="0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Додаток: </w:t>
      </w:r>
      <w:hyperlink r:id="rId10">
        <w:proofErr w:type="gramStart"/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Св</w:t>
        </w:r>
        <w:proofErr w:type="gramEnd"/>
        <w:r w:rsidRPr="00911C2D">
          <w:rPr>
            <w:rFonts w:ascii="Cambria" w:eastAsia="Cambria" w:hAnsi="Cambria" w:cs="Cambria"/>
            <w:color w:val="8C8282"/>
            <w:sz w:val="28"/>
            <w:szCs w:val="28"/>
          </w:rPr>
          <w:t>ідоцтво досягнень</w:t>
        </w:r>
      </w:hyperlink>
    </w:p>
    <w:p w:rsidR="00D03D0D" w:rsidRPr="00911C2D" w:rsidRDefault="00911C2D">
      <w:pPr>
        <w:pStyle w:val="normal"/>
        <w:shd w:val="clear" w:color="auto" w:fill="FFFFFF"/>
        <w:spacing w:after="0"/>
        <w:rPr>
          <w:rFonts w:ascii="Cambria" w:eastAsia="Cambria" w:hAnsi="Cambria" w:cs="Cambria"/>
          <w:color w:val="000000"/>
          <w:sz w:val="28"/>
          <w:szCs w:val="28"/>
        </w:rPr>
      </w:pPr>
      <w:r w:rsidRPr="00911C2D">
        <w:rPr>
          <w:rFonts w:ascii="Cambria" w:eastAsia="Cambria" w:hAnsi="Cambria" w:cs="Cambria"/>
          <w:color w:val="000000"/>
          <w:sz w:val="28"/>
          <w:szCs w:val="28"/>
        </w:rPr>
        <w:t>Генеральний директор</w:t>
      </w:r>
      <w:r w:rsidRPr="00911C2D">
        <w:rPr>
          <w:rFonts w:ascii="Cambria" w:eastAsia="Cambria" w:hAnsi="Cambria" w:cs="Cambria"/>
          <w:color w:val="000000"/>
          <w:sz w:val="28"/>
          <w:szCs w:val="28"/>
        </w:rPr>
        <w:br/>
        <w:t>директорату дошкільної та шкільної освіти                                 А. О. Осмоловський</w:t>
      </w:r>
    </w:p>
    <w:p w:rsidR="00D03D0D" w:rsidRPr="00911C2D" w:rsidRDefault="00D03D0D">
      <w:pPr>
        <w:pStyle w:val="normal"/>
        <w:rPr>
          <w:rFonts w:ascii="Cambria" w:eastAsia="Cambria" w:hAnsi="Cambria" w:cs="Cambria"/>
          <w:sz w:val="28"/>
          <w:szCs w:val="28"/>
        </w:rPr>
      </w:pPr>
    </w:p>
    <w:sectPr w:rsidR="00D03D0D" w:rsidRPr="00911C2D" w:rsidSect="00D03D0D">
      <w:pgSz w:w="11906" w:h="16838"/>
      <w:pgMar w:top="1134" w:right="707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ECF"/>
    <w:multiLevelType w:val="multilevel"/>
    <w:tmpl w:val="FD7C0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6A057D4"/>
    <w:multiLevelType w:val="multilevel"/>
    <w:tmpl w:val="45202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D03D0D"/>
    <w:rsid w:val="00911C2D"/>
    <w:rsid w:val="00D0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03D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03D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03D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03D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03D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03D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3D0D"/>
  </w:style>
  <w:style w:type="table" w:customStyle="1" w:styleId="TableNormal">
    <w:name w:val="Table Normal"/>
    <w:rsid w:val="00D03D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03D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03D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3D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03D0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doc/files/news/654/65481/2-klass_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17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vita.ua/legislation/Ser_osv/59891/" TargetMode="External"/><Relationship Id="rId10" Type="http://schemas.openxmlformats.org/officeDocument/2006/relationships/hyperlink" Target="http://osvita.ua/doc/files/news/654/65481/2-klass_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doc/files/news/654/65481/2-klas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2419</Words>
  <Characters>13793</Characters>
  <Application>Microsoft Office Word</Application>
  <DocSecurity>0</DocSecurity>
  <Lines>114</Lines>
  <Paragraphs>32</Paragraphs>
  <ScaleCrop>false</ScaleCrop>
  <Company>Microsoft</Company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2</cp:revision>
  <dcterms:created xsi:type="dcterms:W3CDTF">2020-10-26T17:07:00Z</dcterms:created>
  <dcterms:modified xsi:type="dcterms:W3CDTF">2020-10-26T17:08:00Z</dcterms:modified>
</cp:coreProperties>
</file>