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60" w:rsidRPr="00843160" w:rsidRDefault="00843160" w:rsidP="0084316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МІНІСТЕРСТВО ОСВІТИ І НАУКИ УКРАЇНИ</w:t>
      </w:r>
    </w:p>
    <w:p w:rsidR="00843160" w:rsidRPr="00843160" w:rsidRDefault="00843160" w:rsidP="0084316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924 від 20 серпня 2018 року</w:t>
      </w:r>
    </w:p>
    <w:p w:rsidR="00843160" w:rsidRPr="00843160" w:rsidRDefault="00843160" w:rsidP="0084316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Пpo затвердження методичних рекомендацій</w:t>
      </w:r>
      <w:r w:rsidRPr="00843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43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щодо оцінювання навчальних досягнень</w:t>
      </w:r>
      <w:r w:rsidRPr="00843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43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учнів першого класу у </w:t>
      </w:r>
      <w:proofErr w:type="gramStart"/>
      <w:r w:rsidRPr="00843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</w:t>
      </w:r>
      <w:proofErr w:type="gramEnd"/>
      <w:r w:rsidRPr="00843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ій українській школі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постанови Кабінету Міні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України від 21.02.2018 </w:t>
      </w:r>
      <w:hyperlink r:id="rId6" w:history="1">
        <w:r w:rsidRPr="00843160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№ 87</w:t>
        </w:r>
      </w:hyperlink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«Про затвердження Державного стандарту початкової освіти» та наказу Міністерства освіти і науки України від 21.03.2018 № 268 «Про затвердження типових освітніх програм для 1-2 класів закладів загальної середньої освіти» НАКАЗУЮ: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Затвердити методичні рекомендації щодо оцінювання навчальних досягнень та зразок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ідоцтва досягнень учнів першого класу, що додаються.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Визнати наказ Міністерства освіти і науки від 19.08.2016 </w:t>
      </w:r>
      <w:hyperlink r:id="rId7" w:history="1">
        <w:r w:rsidRPr="00843160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№ 1009</w:t>
        </w:r>
      </w:hyperlink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«Про внесення змін до наказу Міністерства освіти і науки України від 21.08.2013 </w:t>
      </w:r>
      <w:hyperlink r:id="rId8" w:history="1">
        <w:r w:rsidRPr="00843160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№ 1222</w:t>
        </w:r>
      </w:hyperlink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 частині орієнтовних вимог до контролю та оцінювання навчальних досягнень учнів першого класу таким‚ що втратив чинність.</w:t>
      </w:r>
      <w:proofErr w:type="gramEnd"/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Департаментам (управлінням) освіти і науки обласних, Київської міської державних адміністрацій, інститутам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іслядипломної педагогічної освіти довести цей наказ до керівників закладів загальної середньої освіти для врахування в роботі.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Керівникам закладів загальної середньої освіти забезпечити необхідні умови виконання методичних рекомендацій щодо оцінювання навчальних досягнень учнів першого класу.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Контроль за виконанням цього наказу покласти на заступника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 Хобзея П. К.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  Лілія Гриневич</w:t>
      </w:r>
    </w:p>
    <w:p w:rsidR="00843160" w:rsidRDefault="008431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43160" w:rsidRPr="00843160" w:rsidRDefault="00843160" w:rsidP="00843160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Додаток</w:t>
      </w: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наказу МОН України</w:t>
      </w: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від 20.08.18 № 924</w:t>
      </w:r>
    </w:p>
    <w:p w:rsidR="00843160" w:rsidRPr="00843160" w:rsidRDefault="00843160" w:rsidP="0084316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Методичні рекомендації щодо оцінювання навчальних досягнень учнів першого класу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Оцінювання результатів навчання та особистих досягнень учнів у першому класі має формувальний характер, здійснюється вербально, на суб’єкт-суб’єктних засадах, що передбачає активне залучення учні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самоконтролю і самооцінювання.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Здійснення формувального оцінювання орієнтує вчителя на спостереження за навчальним поступом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кожного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учня.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Воно розпочинається з перших днів навчання у школі і триває постійно.</w:t>
      </w:r>
      <w:proofErr w:type="gramEnd"/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Орієнтирами для здійснення формувального оцінювання e вимоги до обов’язкових результатів навчання та компетентностей учнів початкової школи, визначені Державним стандартом початкової освіти до першого циклу навчання (1 - 2 класи), і очікувані результати, зазначені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освітній програмі.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цьому особливості дитини можуть впливати на темп навчання, внаслідок чого вона може досягати вказаних результатів раніше або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ізніше від завершення зазначеного циклу чи рівня.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Вимоги до очікуваних результатів навчання та компетентностей учнів використовуються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43160" w:rsidRPr="00843160" w:rsidRDefault="00843160" w:rsidP="00843160">
      <w:pPr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 постійного спостереження за динамікою формування певних навчальних дій, що спі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ідносяться з очікуваними результатами, та особистим розвитком учня;</w:t>
      </w:r>
    </w:p>
    <w:p w:rsidR="00843160" w:rsidRPr="00843160" w:rsidRDefault="00843160" w:rsidP="00843160">
      <w:pPr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 навчального поступу з учнями та їхніми батьками або особами, які їx замінюють;</w:t>
      </w:r>
    </w:p>
    <w:p w:rsidR="00843160" w:rsidRPr="00843160" w:rsidRDefault="00843160" w:rsidP="00843160">
      <w:pPr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формувального (поточного) та завершального (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ідсумкового) оцінювання.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Завершальне (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ідсумкове) оцінювання результатів навчання у першому класі має місце лише в кінці навчального року і проводиться з метою визначення освітніх завдань для реалізації індивідуального підходу до дитини в процесі подальшого навчання. Форми і види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ірок для проведення завершального оцінювання учитель обирає самостійно з урахуванням особливостей учнів класу.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Формувальному оцінюванню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ідлягає процес навчання учня, зорієнтований на досягнення визначеного очікуваного результату.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Метою такого оцінювання є формування у дитини впевненості в собі, в своїх можливостях; відзначення будь-</w:t>
      </w: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якого успіху; акцентування уваги на сильних сторонах, а не на помилках; діагностування досягнення на кожному з етапів навчання; адаптування освітнього процесу до здатностей дитини; виявлення проблем і вчасне запобігання їх нашаруванню;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стимулювання бажання вчитися та прагнути максимально можливих результатів; запобігання побоюванням помилитися.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Формувальне оцінювання має мотивувати і надихати дитину на навчальну діяльність, вияв власних здобуткі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сприяти формуванню навичок застосування знань і умінь при виконанні практико орієнтованих завдань.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Невід’ємним складником оцінювальної діяльності є вироблення в учнів здатності самостійно оцінювати власний прогрес. Для організації самоконтролю можна використовувати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ізноманітні листки самооцінювання, оформлені у цікавий для дітей спосіб. Здійснення зворотного зв’язку з учнями в процесі оцінювання кожної виконаної роботи має орієнтувати їх на успіх, підтримувати й надихати на саморозвиток і вдосконалення. Таким чином виявляється формувальний характер контролю та оцінювання особистісного розвитку учні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хід набуття ними навчального досвіду і компетентностей.</w:t>
      </w:r>
    </w:p>
    <w:p w:rsidR="00843160" w:rsidRPr="00843160" w:rsidRDefault="00843160" w:rsidP="0084316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Алгоритм діяльності вчителя </w:t>
      </w:r>
      <w:proofErr w:type="gramStart"/>
      <w:r w:rsidRPr="00843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843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 час організації формувального оцінювання.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Формулювання об’єктивних і зрозумілих для учнів навчальних цілей.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Вчитель спільно з учнями розробляє й обговорює цілі уроку (заняття).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 має бути вимірною, щоб через оцінювання з’ясувати, на якому рівні вона досягнута.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Ознайомлення учнів із критеріями оцінювання.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Обговорення з учнями критеріїв оцінювання робить процес оцінювання прозорим і зрозумілим для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іх суб’єктів освітнього процесу, та сприяє позитивному ставленню до самого процесу. Критерії оцінювання для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поточного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оцінювання мають описувати те, що заявлено в навчальних цілях. Учнів слід ознайомити із ними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початку виконання завдання. Чим конкретніше сформульовані критерії оцінювання, тим зрозумілішою для учнів є діяльність щодо успішного виконання завдання.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Забезпечення активної участі учнів у процесі оцінювання.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Створення ефективного зворотного зв’язку, який має бути зрозумілим і чітким, доброзичливим та своєчасним. У процесі оцінювання важливо не протиставляти дітей одне одному. Стимулюючим має бути порівняння роботи (відповіді, дії тощо) з тим, як працювала дитина раніше.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ільно акцентувати увагу лише на позитивній </w:t>
      </w: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динаміці досягнень дитини. Складнощі у навчанні необхідно обговорювати з учнем індивідуально, аби не створювати ситуацію колективної зневаги до дитини.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Водночас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ільно залучати дітей до взаємооцінювання, при цьому формувати уміння коректно висловлювати думку про результат роботи однокласника, давати поради щодо його покращення. Це активізує навчання, сприяє розвитку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критичного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мислення, формуванню адекватного ставлення до зауважень, рекомендацій, зміцнює товариськість та відчуття значимості кожного в колективі.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Забезпечення можливості й уміння учнів аналізувати власну діяльність (рефлексія).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процесі навчання першокласників важливе значення має становлення елементів рефлексії, спрямованих на спостереження своїх дій та дій однокласників, осмислення своїх суджень, дій, учинків з огляду на їx відповідність меті діяльності, оскільки початкові навички рефлексії як особистісного новоутворення у повному обсязі мають сформуватися тільки наприк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інці молодшого шкільного віку.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Слід зазначити, що здатність до персональної рефлексії у дітей 6-7 років є достатньо обмеженою, але можливості для її розвитку актуалізуються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 час роботи в групі. Умовою розвитку рефлексії в цьому віці є включення дитини у взаємодію з наступним (ретроспективним) відтворенням фактичних актів дій та комунікацій в контексті особистісного та спільного значення. Таким чином закладаються основи для самоспостереження і спостереження, які виводяться на рефлексивний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івень у майбутньому. Спонукають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рефлексії запитання: «Що нового дізнався на уроці?», «Що привернуло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твою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увагу?», «Що нового у спілкуванні?», «Що тебе найбільше схвилювало (що нового в емоціях)?».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Корегування спільно з учнями </w:t>
      </w:r>
      <w:proofErr w:type="gramStart"/>
      <w:r w:rsidRPr="00843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843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ідходів до навчання з урахуванням результатів оцінювання.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Формувальне оцінювання дає можливість вчителю, відстежуючи рух дитини до навчальних цілей, здійснити корегування освітнього процесу на ранніх етапах, а учневі - усвідомити відповідальність за своє навчання. Оцінка діяльності учнів має бути позитивною. У випадку невдач або непосильності певної роботи для конкретного учня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ільно запропонувати йому легше завдання, аби оцінити й підтримати зусилля.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 компоненти формувального оцінювання такі як: конкретний аналіз допущених учнем помилок і труднощів, що постали перед ним, та конкретні вказівки про те, як покращити досягнутий результат, не є предметом розгляду у першому класі, але стають актуальними на подальших навчальних етапах у початковій школі.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Формувальне оцінювання можна забезпечити використанням портфоліо, основна суть якого полягає в тому, щоб показати все, на що здібні учні. Через твердження «Я знаю», «Я вмію» акцентуються навчальні досягнення учнів, розвивається здатність до самооцінювання, поступово збільшується відповідальність за власне навчання.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Кожен учень має власний стиль і темп навчання. Тому важливо усвідомлювати, що оцінювання учня вчителем не повинно стати причиною заниженої самооцінки молодшого школяра, що неминуче позначається на його навчальній мотивації й успішності.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організації навчання взагалі і оцінювання в першому класі зокрема, важливо створювати для учнів ситуацію успіху. Навіть невеличке досягнення надихає дітей. А вчитель, звичайно, завжди може знайти можливість запропонувати таку ситуацію, дати таке завдання, щоб навіть найслабший учень міг вирізнитися з кращого боку; дуже важливо похвалою відмітити навіть ледь помітне просування уперед: «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Добре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Твоя буква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зараз набагато краща».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Діти дуже чутливі до оцінювання їх дорослими.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Молодші школярі мають характерну особливість сприймати оцінку за виконання якогось завдання як оцінювання себе, а тому негативну оцінку вони розуміють як вияв негативного ставлення до себе з боку вчителя.</w:t>
      </w:r>
      <w:proofErr w:type="gramEnd"/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Враховуючи цю вікову особливість, а також важливу роль початкової школи як «стартового майданчика» для того, щоб задати індивідуальну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траєктор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ію особистості не тільки у навчальній діяльності, а й в особистісному розвитку, вчителю слід використовувати формувальне оцінювання, яке на етапі першого класу має включати два обов’язкових компоненти: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доброзичливе ставлення до учня як до особистості;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позитивне ставлення до зусиль учня, спрямованих на розв'язання задачі (навіть якщо ці зусилля не дали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позитивного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результату).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 результатів завершального (підсумкового) оцінювання, що здійснюється з урахуванням динаміки зростання рівня навчальних досягнень учня/учениці, фіксується учителем/учителькою у свідоцтві досягнень.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ідоцтво досягнень має бути зрозумілим документом для батьків дитини або осіб, які їх замінюють, що дає розгорнуте уявлення про навчальний поступ дитини в школі під час навчального року.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Запропонований зразок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ідоцтва досягнень складається з 2 частин:</w:t>
      </w:r>
    </w:p>
    <w:p w:rsidR="00843160" w:rsidRPr="00843160" w:rsidRDefault="00843160" w:rsidP="00843160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перша частина - характеристика особистих досягнень учнів, заповнюється у жовтні, як проміжний, та у травні як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ідсумковий звіт, з метою фіксування навчального поступу, у якому оцінюється активність дитини, самостійна робота на уроці, співпраця з іншими учнями тощо.</w:t>
      </w:r>
    </w:p>
    <w:p w:rsidR="00843160" w:rsidRPr="00843160" w:rsidRDefault="00843160" w:rsidP="00843160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 частина складається з оцінювання предметних компетентностей. Заповнюється тільки у травні.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оцінювання учнів пропонується чотирирівнева система: «має значні успіхи», «демонструє помітний прогрес», «досягає результату з допомогою вчителя», «ще потребує уваги i допомоги».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Учителі, які викладають навчальні предмети у початковій школі дають характеристику предметних компетентностей учня за чотирирівневою системою. У першому класі оцінювання має описовий характер як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 навчання, старанності та соціальної поведінки, так і предметів та освітнього процесу в цілому, але не результату.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заповненні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ідоцтва досягнень пропонуємо відмічати визначення рівня у довільній формі (графічні знаки).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роздруковує два екземпляри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ідоцтва. Батькам або особам, які їх замінюють, видають один екземпляр, другий залишається в закладі освіти і зберігається в особовій справі. За бажанням, батьки можуть залишити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 коментар у свідоцтві, для цього, зустрітись з учителем і написати свої побажання на екземплярі, що зберігається в школі.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зразка </w:t>
      </w:r>
      <w:proofErr w:type="gramStart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ідоцтва досягнень за вибором закладу загальної середньої освіти роздруковується у чорно-білому або кольоровому вигляді, у </w:t>
      </w:r>
      <w:hyperlink r:id="rId9" w:history="1">
        <w:r w:rsidRPr="00843160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форматі </w:t>
        </w:r>
      </w:hyperlink>
      <w:hyperlink r:id="rId10" w:history="1">
        <w:r w:rsidRPr="00843160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А 4</w:t>
        </w:r>
      </w:hyperlink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або у </w:t>
      </w:r>
      <w:hyperlink r:id="rId11" w:history="1">
        <w:r w:rsidRPr="00843160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форматі А 5</w:t>
        </w:r>
      </w:hyperlink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Вчитель, за бажанням, може додавати особисті або навчальні характеристики на свій розсуд.</w:t>
      </w:r>
    </w:p>
    <w:p w:rsidR="00843160" w:rsidRPr="00843160" w:rsidRDefault="00843160" w:rsidP="008431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департаменту                                Ю. Г. Кононенко</w:t>
      </w:r>
    </w:p>
    <w:p w:rsidR="00843160" w:rsidRDefault="00843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78"/>
        <w:gridCol w:w="1231"/>
        <w:gridCol w:w="1232"/>
        <w:gridCol w:w="1232"/>
        <w:gridCol w:w="1232"/>
      </w:tblGrid>
      <w:tr w:rsidR="00843160" w:rsidTr="004117D6">
        <w:tc>
          <w:tcPr>
            <w:tcW w:w="5778" w:type="dxa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</w:p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</w:p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</w:p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Характеристика навчальних досягнень</w:t>
            </w:r>
          </w:p>
        </w:tc>
        <w:tc>
          <w:tcPr>
            <w:tcW w:w="1231" w:type="dxa"/>
            <w:vAlign w:val="center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має значні успіхи</w:t>
            </w:r>
          </w:p>
        </w:tc>
        <w:tc>
          <w:tcPr>
            <w:tcW w:w="1232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демонс-трує</w:t>
            </w:r>
          </w:p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поміт-ний</w:t>
            </w:r>
          </w:p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прогрес</w:t>
            </w:r>
          </w:p>
        </w:tc>
        <w:tc>
          <w:tcPr>
            <w:tcW w:w="1232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досягає результату з допомо-гою вчителя</w:t>
            </w:r>
          </w:p>
        </w:tc>
        <w:tc>
          <w:tcPr>
            <w:tcW w:w="1232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ще</w:t>
            </w:r>
          </w:p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потребує уваги і допомо-ги</w:t>
            </w:r>
          </w:p>
        </w:tc>
      </w:tr>
      <w:tr w:rsidR="00843160" w:rsidTr="004117D6">
        <w:tc>
          <w:tcPr>
            <w:tcW w:w="10705" w:type="dxa"/>
            <w:gridSpan w:val="5"/>
            <w:vAlign w:val="bottom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Українська мова, мова корінних народів та національних меншин (мова навчання)</w:t>
            </w: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Уважно слухає і розуміє коротке висловлення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Вступає в діалог на теми, які викликають зацікавлення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Дотримується правил спілкування: привітання, прощання, подяка, прохання, запитання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Зрозуміло висловлює власні потреби, відчуття, спостереження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Знає всі літери алфавіту, читає вголос доступні тексти (цілими словами і складами) з відповідною інтонацією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Розуміє фактичний зміст прочитаних простих коротких текстів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Висловлює власне ставлення до прочитаного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Виявляє інтерес до читання, відповідає на запитання, про що (про кого) любить читати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Називає і розбірливо пише всі рукописні малі й великі літери алфавіту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Списує слова і речення з друкованого і рукописного тексту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Пише під диктування слова (в яких написання збігається зі звучанням), до 5 речень з 3-4 слів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10705" w:type="dxa"/>
            <w:gridSpan w:val="5"/>
            <w:vAlign w:val="center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Математика</w:t>
            </w: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Додає і віднімає числа у межах 10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Лічить об’єкти і записує числа у межах 100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Порівнює числа у межах 100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Розв’язує прості задачі на знаходження суми, різниці двох чисел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Розв’язує прості задачі на збільшення та зменшення числа на кілька одиниць, різницеве порівняння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Орієнтується у просторі, пояснює розташування предметів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Визначає геометричні форми предметів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Вимірює довжини об’єктів за допомогою підручних засобів, лінійки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43160" w:rsidRDefault="00843160" w:rsidP="00843160">
      <w:pPr>
        <w:pStyle w:val="normal"/>
      </w:pPr>
      <w:r>
        <w:br w:type="page"/>
      </w:r>
    </w:p>
    <w:tbl>
      <w:tblPr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78"/>
        <w:gridCol w:w="1231"/>
        <w:gridCol w:w="1232"/>
        <w:gridCol w:w="1232"/>
        <w:gridCol w:w="1232"/>
      </w:tblGrid>
      <w:tr w:rsidR="00843160" w:rsidTr="004117D6">
        <w:trPr>
          <w:trHeight w:val="1520"/>
        </w:trPr>
        <w:tc>
          <w:tcPr>
            <w:tcW w:w="5778" w:type="dxa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</w:p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</w:p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</w:p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Характеристика навчальних досягнень</w:t>
            </w:r>
          </w:p>
        </w:tc>
        <w:tc>
          <w:tcPr>
            <w:tcW w:w="1231" w:type="dxa"/>
            <w:vAlign w:val="center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має значні успіхи</w:t>
            </w:r>
          </w:p>
        </w:tc>
        <w:tc>
          <w:tcPr>
            <w:tcW w:w="1232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демонструє</w:t>
            </w:r>
          </w:p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помітний</w:t>
            </w:r>
          </w:p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прогрес</w:t>
            </w:r>
          </w:p>
        </w:tc>
        <w:tc>
          <w:tcPr>
            <w:tcW w:w="1232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досягає результату з допомогою вчителя</w:t>
            </w:r>
          </w:p>
        </w:tc>
        <w:tc>
          <w:tcPr>
            <w:tcW w:w="1232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ще</w:t>
            </w:r>
          </w:p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потребує уваги і допомоги</w:t>
            </w:r>
          </w:p>
        </w:tc>
      </w:tr>
      <w:tr w:rsidR="00843160" w:rsidTr="004117D6">
        <w:tc>
          <w:tcPr>
            <w:tcW w:w="10705" w:type="dxa"/>
            <w:gridSpan w:val="5"/>
            <w:vAlign w:val="bottom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Я досліджую світ</w:t>
            </w: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Цікавиться темами, що вивчаються, виявляє допитливість до навколишнього світу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Розповідає про себе, свою сім’ю, місце проживання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Дотримується правил поведінки в громадських місцях, на природі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Дотримується правил безпеки під час різних видів діяльності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Встановлює найпростіші взаємозв’язки в живій і неживій природі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5778" w:type="dxa"/>
            <w:vAlign w:val="center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Проводить найпростіші спостереження і дослідження у навколишньому світі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10705" w:type="dxa"/>
            <w:gridSpan w:val="5"/>
            <w:vAlign w:val="center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Технології</w:t>
            </w: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Пропонує і втілює власні творчі ідеї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Належним чином користується матеріалами та інструментами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Планує дії та виготовляє власний виріб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10705" w:type="dxa"/>
            <w:gridSpan w:val="5"/>
            <w:vAlign w:val="bottom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Мистецтво</w:t>
            </w: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Висловлює своє ставлення до мистецьких творів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Охоче бере участь у спільних співах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Відтворює прості ритми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5778" w:type="dxa"/>
            <w:vAlign w:val="center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Втілює власні ідеї в художні образи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Створює художні образи різними засобами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10705" w:type="dxa"/>
            <w:gridSpan w:val="5"/>
            <w:vAlign w:val="bottom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Фізична культура</w:t>
            </w: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Виявляє інтерес до рухових видів діяльності, ігор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Дотримується встановлених умов та правил гри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10705" w:type="dxa"/>
            <w:gridSpan w:val="5"/>
            <w:vAlign w:val="bottom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Іноземна мова</w:t>
            </w: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Розпізнає знайомі слова у супроводі малюнків, наприклад, у книжці з малюнками, де використовується знайома лексика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Розуміє просту особисту інформацію ( ім’я, вік, місце проживання, країна походження), а також розуміє запитання на цю тему, спрямовані безпосередньо та особисто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Продукує короткі фрази про себе, надаючи базову персональну інформацію (ім’я, адреса, родина)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10705" w:type="dxa"/>
            <w:gridSpan w:val="5"/>
            <w:vAlign w:val="bottom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Мова вивчення</w:t>
            </w: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Проявляє зацікавленість від вивчення мови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5778" w:type="dxa"/>
            <w:vAlign w:val="bottom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Бере активну участь в тематичних бесідах</w:t>
            </w:r>
          </w:p>
        </w:tc>
        <w:tc>
          <w:tcPr>
            <w:tcW w:w="1231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843160" w:rsidRDefault="00843160" w:rsidP="004117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10705" w:type="dxa"/>
            <w:gridSpan w:val="5"/>
            <w:vAlign w:val="bottom"/>
          </w:tcPr>
          <w:p w:rsidR="00843160" w:rsidRDefault="00843160" w:rsidP="004117D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43160" w:rsidRDefault="00843160" w:rsidP="004117D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Рекомендації вчителя, що стосуються освітнього</w:t>
            </w:r>
          </w:p>
        </w:tc>
      </w:tr>
      <w:tr w:rsidR="00843160" w:rsidTr="004117D6">
        <w:tc>
          <w:tcPr>
            <w:tcW w:w="10705" w:type="dxa"/>
            <w:gridSpan w:val="5"/>
            <w:vAlign w:val="bottom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10705" w:type="dxa"/>
            <w:gridSpan w:val="5"/>
            <w:vAlign w:val="bottom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10705" w:type="dxa"/>
            <w:gridSpan w:val="5"/>
            <w:vAlign w:val="bottom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10705" w:type="dxa"/>
            <w:gridSpan w:val="5"/>
            <w:vAlign w:val="bottom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rPr>
          <w:trHeight w:val="640"/>
        </w:trPr>
        <w:tc>
          <w:tcPr>
            <w:tcW w:w="10705" w:type="dxa"/>
            <w:gridSpan w:val="5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Пропущених днів  ______________</w:t>
            </w:r>
          </w:p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Підпис учителя      _______________</w:t>
            </w:r>
          </w:p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Побажання батьків або осіб, які їх замінюють щодо освітнього процесу   </w:t>
            </w:r>
          </w:p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10705" w:type="dxa"/>
            <w:gridSpan w:val="5"/>
            <w:vAlign w:val="bottom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10705" w:type="dxa"/>
            <w:gridSpan w:val="5"/>
            <w:vAlign w:val="bottom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10705" w:type="dxa"/>
            <w:gridSpan w:val="5"/>
            <w:vAlign w:val="bottom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RPr="00843160" w:rsidTr="004117D6">
        <w:tc>
          <w:tcPr>
            <w:tcW w:w="10705" w:type="dxa"/>
            <w:gridSpan w:val="5"/>
            <w:vAlign w:val="bottom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Підпис батьків або осіб, які їх замінюють ___________________________</w:t>
            </w:r>
          </w:p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43160" w:rsidRDefault="00843160" w:rsidP="00843160">
      <w:pPr>
        <w:pStyle w:val="normal"/>
        <w:rPr>
          <w:rFonts w:ascii="Times New Roman" w:eastAsia="Times New Roman" w:hAnsi="Times New Roman" w:cs="Times New Roman"/>
          <w:color w:val="000000"/>
        </w:rPr>
      </w:pPr>
    </w:p>
    <w:p w:rsidR="00843160" w:rsidRDefault="00843160" w:rsidP="00843160">
      <w:pPr>
        <w:pStyle w:val="normal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Керівник закладу ______________________                    ________________________</w:t>
      </w:r>
    </w:p>
    <w:p w:rsidR="00843160" w:rsidRDefault="00843160" w:rsidP="00843160">
      <w:pPr>
        <w:pStyle w:val="normal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(прізвище та ініціали)                                                      (підпис, печатка)</w:t>
      </w:r>
    </w:p>
    <w:p w:rsidR="00843160" w:rsidRDefault="00843160" w:rsidP="00843160">
      <w:pPr>
        <w:pStyle w:val="normal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43160" w:rsidRDefault="00843160" w:rsidP="00843160">
      <w:pPr>
        <w:pStyle w:val="normal"/>
        <w:widowControl/>
        <w:ind w:left="57" w:right="57" w:firstLine="57"/>
      </w:pPr>
      <w:r>
        <w:br w:type="page"/>
      </w:r>
    </w:p>
    <w:p w:rsidR="00843160" w:rsidRDefault="00843160" w:rsidP="00843160">
      <w:pPr>
        <w:pStyle w:val="normal"/>
        <w:spacing w:line="276" w:lineRule="auto"/>
        <w:jc w:val="right"/>
        <w:rPr>
          <w:rFonts w:ascii="Cambria" w:eastAsia="Cambria" w:hAnsi="Cambria" w:cs="Cambria"/>
          <w:b/>
          <w:color w:val="000000"/>
          <w:sz w:val="32"/>
          <w:szCs w:val="32"/>
          <w:u w:val="single"/>
        </w:rPr>
      </w:pPr>
      <w:r>
        <w:rPr>
          <w:rFonts w:ascii="Cambria" w:eastAsia="Cambria" w:hAnsi="Cambria" w:cs="Cambria"/>
          <w:b/>
          <w:color w:val="000000"/>
          <w:sz w:val="32"/>
          <w:szCs w:val="32"/>
          <w:u w:val="single"/>
        </w:rPr>
        <w:lastRenderedPageBreak/>
        <w:t>Білогірський опорний заклад ім. І. О. Ткачука</w:t>
      </w:r>
    </w:p>
    <w:p w:rsidR="00843160" w:rsidRDefault="00843160" w:rsidP="00843160">
      <w:pPr>
        <w:pStyle w:val="normal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43160" w:rsidRDefault="00843160" w:rsidP="00843160">
      <w:pPr>
        <w:pStyle w:val="normal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СВІДОЦТВО ДОСЯГНЕНЬ</w:t>
      </w:r>
    </w:p>
    <w:p w:rsidR="00843160" w:rsidRDefault="00843160" w:rsidP="00843160">
      <w:pPr>
        <w:pStyle w:val="normal"/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</w:t>
      </w:r>
      <w:r w:rsidR="00E81A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</w:t>
      </w:r>
    </w:p>
    <w:p w:rsidR="00843160" w:rsidRDefault="00843160" w:rsidP="00843160">
      <w:pPr>
        <w:pStyle w:val="normal"/>
        <w:spacing w:line="276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Ім’я та прізвище учня/учениці</w:t>
      </w:r>
    </w:p>
    <w:p w:rsidR="00843160" w:rsidRDefault="00843160" w:rsidP="00843160">
      <w:pPr>
        <w:pStyle w:val="normal"/>
        <w:spacing w:line="276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p w:rsidR="00843160" w:rsidRDefault="00843160" w:rsidP="00843160">
      <w:pPr>
        <w:pStyle w:val="normal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навчальний рік                   </w:t>
      </w:r>
    </w:p>
    <w:p w:rsidR="00843160" w:rsidRDefault="00843160" w:rsidP="00843160">
      <w:pPr>
        <w:pStyle w:val="normal"/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</w:t>
      </w:r>
    </w:p>
    <w:p w:rsidR="00843160" w:rsidRDefault="00843160" w:rsidP="00843160">
      <w:pPr>
        <w:pStyle w:val="normal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W w:w="10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029"/>
        <w:gridCol w:w="847"/>
        <w:gridCol w:w="847"/>
        <w:gridCol w:w="849"/>
        <w:gridCol w:w="849"/>
        <w:gridCol w:w="918"/>
        <w:gridCol w:w="918"/>
        <w:gridCol w:w="735"/>
        <w:gridCol w:w="712"/>
      </w:tblGrid>
      <w:tr w:rsidR="00843160" w:rsidTr="004117D6">
        <w:trPr>
          <w:trHeight w:val="1520"/>
        </w:trPr>
        <w:tc>
          <w:tcPr>
            <w:tcW w:w="4030" w:type="dxa"/>
            <w:vMerge w:val="restart"/>
            <w:vAlign w:val="center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Характеристика особистих досягнень</w:t>
            </w:r>
          </w:p>
        </w:tc>
        <w:tc>
          <w:tcPr>
            <w:tcW w:w="1694" w:type="dxa"/>
            <w:gridSpan w:val="2"/>
            <w:tcBorders>
              <w:bottom w:val="single" w:sz="4" w:space="0" w:color="000000"/>
            </w:tcBorders>
            <w:vAlign w:val="center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має значні успіхи</w:t>
            </w:r>
          </w:p>
        </w:tc>
        <w:tc>
          <w:tcPr>
            <w:tcW w:w="1698" w:type="dxa"/>
            <w:gridSpan w:val="2"/>
            <w:tcBorders>
              <w:bottom w:val="single" w:sz="4" w:space="0" w:color="000000"/>
            </w:tcBorders>
            <w:vAlign w:val="center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демонструє</w:t>
            </w:r>
          </w:p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помітний</w:t>
            </w:r>
          </w:p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прогрес</w:t>
            </w:r>
          </w:p>
        </w:tc>
        <w:tc>
          <w:tcPr>
            <w:tcW w:w="1836" w:type="dxa"/>
            <w:gridSpan w:val="2"/>
            <w:tcBorders>
              <w:bottom w:val="single" w:sz="4" w:space="0" w:color="000000"/>
            </w:tcBorders>
            <w:vAlign w:val="center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досягає результату з допомогою вчителя</w:t>
            </w:r>
          </w:p>
        </w:tc>
        <w:tc>
          <w:tcPr>
            <w:tcW w:w="1447" w:type="dxa"/>
            <w:gridSpan w:val="2"/>
            <w:tcBorders>
              <w:bottom w:val="single" w:sz="4" w:space="0" w:color="000000"/>
            </w:tcBorders>
            <w:vAlign w:val="center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ще потребує уваги і допомоги</w:t>
            </w:r>
          </w:p>
        </w:tc>
      </w:tr>
      <w:tr w:rsidR="00843160" w:rsidTr="004117D6">
        <w:trPr>
          <w:trHeight w:val="320"/>
        </w:trPr>
        <w:tc>
          <w:tcPr>
            <w:tcW w:w="4030" w:type="dxa"/>
            <w:vMerge/>
            <w:vAlign w:val="center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</w:tcBorders>
            <w:vAlign w:val="center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жов-тень</w:t>
            </w:r>
          </w:p>
        </w:tc>
        <w:tc>
          <w:tcPr>
            <w:tcW w:w="847" w:type="dxa"/>
            <w:tcBorders>
              <w:top w:val="single" w:sz="4" w:space="0" w:color="000000"/>
            </w:tcBorders>
            <w:vAlign w:val="center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тра-вень</w:t>
            </w:r>
          </w:p>
        </w:tc>
        <w:tc>
          <w:tcPr>
            <w:tcW w:w="849" w:type="dxa"/>
            <w:tcBorders>
              <w:top w:val="single" w:sz="4" w:space="0" w:color="000000"/>
            </w:tcBorders>
            <w:vAlign w:val="center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жов-тень</w:t>
            </w:r>
          </w:p>
        </w:tc>
        <w:tc>
          <w:tcPr>
            <w:tcW w:w="849" w:type="dxa"/>
            <w:tcBorders>
              <w:top w:val="single" w:sz="4" w:space="0" w:color="000000"/>
            </w:tcBorders>
            <w:vAlign w:val="center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тра-вень</w:t>
            </w:r>
          </w:p>
        </w:tc>
        <w:tc>
          <w:tcPr>
            <w:tcW w:w="918" w:type="dxa"/>
            <w:tcBorders>
              <w:top w:val="single" w:sz="4" w:space="0" w:color="000000"/>
            </w:tcBorders>
            <w:vAlign w:val="center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жов-тень</w:t>
            </w:r>
          </w:p>
        </w:tc>
        <w:tc>
          <w:tcPr>
            <w:tcW w:w="918" w:type="dxa"/>
            <w:tcBorders>
              <w:top w:val="single" w:sz="4" w:space="0" w:color="000000"/>
            </w:tcBorders>
            <w:vAlign w:val="center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тра-вень</w:t>
            </w:r>
          </w:p>
        </w:tc>
        <w:tc>
          <w:tcPr>
            <w:tcW w:w="735" w:type="dxa"/>
            <w:tcBorders>
              <w:top w:val="single" w:sz="4" w:space="0" w:color="000000"/>
            </w:tcBorders>
            <w:vAlign w:val="center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жов-тень</w:t>
            </w:r>
          </w:p>
        </w:tc>
        <w:tc>
          <w:tcPr>
            <w:tcW w:w="712" w:type="dxa"/>
            <w:tcBorders>
              <w:top w:val="single" w:sz="4" w:space="0" w:color="000000"/>
            </w:tcBorders>
            <w:vAlign w:val="center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тра-вень </w:t>
            </w:r>
          </w:p>
        </w:tc>
      </w:tr>
      <w:tr w:rsidR="00843160" w:rsidTr="004117D6">
        <w:tc>
          <w:tcPr>
            <w:tcW w:w="4030" w:type="dxa"/>
            <w:vAlign w:val="center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Виявляє інтерес до навчання</w:t>
            </w:r>
          </w:p>
        </w:tc>
        <w:tc>
          <w:tcPr>
            <w:tcW w:w="847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4030" w:type="dxa"/>
            <w:vAlign w:val="center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Активно працює на уроці</w:t>
            </w:r>
          </w:p>
        </w:tc>
        <w:tc>
          <w:tcPr>
            <w:tcW w:w="847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4030" w:type="dxa"/>
            <w:vAlign w:val="center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Ставить запитання про нове, незрозуміле</w:t>
            </w:r>
          </w:p>
        </w:tc>
        <w:tc>
          <w:tcPr>
            <w:tcW w:w="847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4030" w:type="dxa"/>
            <w:vAlign w:val="center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Виявляє старанність у навчанні</w:t>
            </w:r>
          </w:p>
        </w:tc>
        <w:tc>
          <w:tcPr>
            <w:tcW w:w="847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4030" w:type="dxa"/>
            <w:vAlign w:val="center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Працює зосереджено</w:t>
            </w:r>
          </w:p>
        </w:tc>
        <w:tc>
          <w:tcPr>
            <w:tcW w:w="847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4030" w:type="dxa"/>
            <w:vAlign w:val="center"/>
          </w:tcPr>
          <w:p w:rsidR="00843160" w:rsidRDefault="00843160" w:rsidP="004117D6">
            <w:pPr>
              <w:pStyle w:val="normal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Виявляє самостійність у роботі</w:t>
            </w:r>
          </w:p>
        </w:tc>
        <w:tc>
          <w:tcPr>
            <w:tcW w:w="847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4030" w:type="dxa"/>
            <w:vAlign w:val="center"/>
          </w:tcPr>
          <w:p w:rsidR="00843160" w:rsidRDefault="00843160" w:rsidP="004117D6">
            <w:pPr>
              <w:pStyle w:val="normal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Доброзичливо ставиться до оточуючих</w:t>
            </w:r>
          </w:p>
        </w:tc>
        <w:tc>
          <w:tcPr>
            <w:tcW w:w="847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4030" w:type="dxa"/>
            <w:vAlign w:val="center"/>
          </w:tcPr>
          <w:p w:rsidR="00843160" w:rsidRDefault="00843160" w:rsidP="004117D6">
            <w:pPr>
              <w:pStyle w:val="normal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Співпрацює з іншими дітьми</w:t>
            </w:r>
          </w:p>
        </w:tc>
        <w:tc>
          <w:tcPr>
            <w:tcW w:w="847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4030" w:type="dxa"/>
            <w:vAlign w:val="center"/>
          </w:tcPr>
          <w:p w:rsidR="00843160" w:rsidRDefault="00843160" w:rsidP="004117D6">
            <w:pPr>
              <w:pStyle w:val="normal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Вирішує конфлікти мирним шляхом</w:t>
            </w:r>
          </w:p>
        </w:tc>
        <w:tc>
          <w:tcPr>
            <w:tcW w:w="847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4030" w:type="dxa"/>
            <w:vAlign w:val="center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Знаходить успішні шляхи вирішення проблем</w:t>
            </w:r>
          </w:p>
        </w:tc>
        <w:tc>
          <w:tcPr>
            <w:tcW w:w="847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4030" w:type="dxa"/>
            <w:vAlign w:val="center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Дотримується правил поведінки під час уроку, гри, відпочинку</w:t>
            </w:r>
          </w:p>
        </w:tc>
        <w:tc>
          <w:tcPr>
            <w:tcW w:w="847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160" w:rsidTr="004117D6">
        <w:tc>
          <w:tcPr>
            <w:tcW w:w="4030" w:type="dxa"/>
            <w:vAlign w:val="center"/>
          </w:tcPr>
          <w:p w:rsidR="00843160" w:rsidRDefault="00843160" w:rsidP="004117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Бере відповідальність за свої дії</w:t>
            </w:r>
          </w:p>
        </w:tc>
        <w:tc>
          <w:tcPr>
            <w:tcW w:w="847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</w:tcPr>
          <w:p w:rsidR="00843160" w:rsidRDefault="00843160" w:rsidP="004117D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43160" w:rsidRDefault="00843160" w:rsidP="00843160">
      <w:pPr>
        <w:pStyle w:val="normal"/>
      </w:pPr>
    </w:p>
    <w:p w:rsidR="001B4391" w:rsidRPr="00843160" w:rsidRDefault="001B4391" w:rsidP="0084316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B4391" w:rsidRPr="00843160" w:rsidSect="00843160">
      <w:pgSz w:w="11906" w:h="16838"/>
      <w:pgMar w:top="993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5A8F"/>
    <w:multiLevelType w:val="multilevel"/>
    <w:tmpl w:val="EA34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FF62DF"/>
    <w:multiLevelType w:val="multilevel"/>
    <w:tmpl w:val="0816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474D9A"/>
    <w:multiLevelType w:val="multilevel"/>
    <w:tmpl w:val="A03A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843160"/>
    <w:rsid w:val="0017500D"/>
    <w:rsid w:val="001B4391"/>
    <w:rsid w:val="002833D8"/>
    <w:rsid w:val="00843160"/>
    <w:rsid w:val="00920BAC"/>
    <w:rsid w:val="00CD382F"/>
    <w:rsid w:val="00E81A7B"/>
    <w:rsid w:val="00E9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91"/>
  </w:style>
  <w:style w:type="paragraph" w:styleId="3">
    <w:name w:val="heading 3"/>
    <w:basedOn w:val="a"/>
    <w:link w:val="30"/>
    <w:uiPriority w:val="9"/>
    <w:qFormat/>
    <w:rsid w:val="008431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31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431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3160"/>
    <w:rPr>
      <w:b/>
      <w:bCs/>
    </w:rPr>
  </w:style>
  <w:style w:type="paragraph" w:customStyle="1" w:styleId="normal">
    <w:name w:val="normal"/>
    <w:rsid w:val="00843160"/>
    <w:pPr>
      <w:widowControl w:val="0"/>
      <w:spacing w:after="0" w:line="240" w:lineRule="auto"/>
    </w:pPr>
    <w:rPr>
      <w:rFonts w:ascii="Arimo" w:eastAsia="Arimo" w:hAnsi="Arimo" w:cs="Arimo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03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93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Ser_osv/3697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svita.ua/legislation/Ser_osv/52077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svita.ua/legislation/Ser_osv/59891/" TargetMode="External"/><Relationship Id="rId11" Type="http://schemas.openxmlformats.org/officeDocument/2006/relationships/hyperlink" Target="http://osvita.ua/doc/files/news/617/61761/svidotstvo_dosyagnen_A5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vita.ua/doc/files/news/617/61761/svidotstvo_dosyagnen_A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vita.ua/doc/files/news/617/61761/svidotstvo_dosyagnen_A4_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C0901-0046-4F91-BCC1-8B55CD12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2020-10-26T16:55:00Z</dcterms:created>
  <dcterms:modified xsi:type="dcterms:W3CDTF">2020-10-26T17:06:00Z</dcterms:modified>
</cp:coreProperties>
</file>