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НОРМАТИВНО-ПРАВОВА БАЗА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Закон України «Про освіту»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32"/>
          <w:szCs w:val="32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2"/>
            <w:szCs w:val="32"/>
            <w:u w:val="single"/>
            <w:rtl w:val="0"/>
          </w:rPr>
          <w:t xml:space="preserve">https://zakon.rada.gov.ua/laws/show/2145-19#Text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Закон України «Про охорону дитинства»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heading=h.gjdgxs" w:id="0"/>
      <w:bookmarkEnd w:id="0"/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2"/>
            <w:szCs w:val="32"/>
            <w:u w:val="single"/>
            <w:rtl w:val="0"/>
          </w:rPr>
          <w:t xml:space="preserve">https://zakon.rada.gov.ua/laws/show/2402-14#Text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Закон України «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  <w:rtl w:val="0"/>
        </w:rPr>
        <w:t xml:space="preserve">Про авторське право і суміжні права»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32"/>
          <w:szCs w:val="32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2"/>
            <w:szCs w:val="32"/>
            <w:u w:val="single"/>
            <w:rtl w:val="0"/>
          </w:rPr>
          <w:t xml:space="preserve">https://zakon.rada.gov.ua/laws/show/3792-12#Text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Закон України «Про захист персональних даних»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32"/>
          <w:szCs w:val="32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2"/>
            <w:szCs w:val="32"/>
            <w:u w:val="single"/>
            <w:rtl w:val="0"/>
          </w:rPr>
          <w:t xml:space="preserve">https://zakon.rada.gov.ua/laws/show/2297-17#Text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Закон України «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  <w:rtl w:val="0"/>
        </w:rPr>
        <w:t xml:space="preserve">Про засади запобігання та протидії дискримінації в Україні»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2"/>
            <w:szCs w:val="32"/>
            <w:highlight w:val="white"/>
            <w:u w:val="single"/>
            <w:rtl w:val="0"/>
          </w:rPr>
          <w:t xml:space="preserve">https://zakon.rada.gov.ua/laws/show/5207-17#Text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  <w:rtl w:val="0"/>
        </w:rPr>
        <w:t xml:space="preserve">Закон України «Про внесення змін до деяких законодавчих актів України щодо протидії булінгу (цькуванню)»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2"/>
            <w:szCs w:val="32"/>
            <w:highlight w:val="white"/>
            <w:u w:val="single"/>
            <w:rtl w:val="0"/>
          </w:rPr>
          <w:t xml:space="preserve">https://zakon.rada.gov.ua/laws/show/2657-19#Text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  <w:rtl w:val="0"/>
        </w:rPr>
        <w:t xml:space="preserve">Конвенція ООН про права дитини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2"/>
            <w:szCs w:val="32"/>
            <w:highlight w:val="white"/>
            <w:u w:val="single"/>
            <w:rtl w:val="0"/>
          </w:rPr>
          <w:t xml:space="preserve">https://zakon.rada.gov.ua/laws/show/995_021#Text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Методичні рекомендації щодо організації роботи сайту закладу освіти (підготовлені ДНУ «Інститут модернізації змісту освіти» та ГО «Центр кращого Інтернету»)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32"/>
          <w:szCs w:val="32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2"/>
            <w:szCs w:val="32"/>
            <w:u w:val="single"/>
            <w:rtl w:val="0"/>
          </w:rPr>
          <w:t xml:space="preserve">https://betterinternetcentre.org/wp-content/uploads/2020/02/BetterInternetCentre_-Rec_Child-rights-online.pdf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B355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2B355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zakon.rada.gov.ua/laws/show/5207-17#Text" TargetMode="External"/><Relationship Id="rId10" Type="http://schemas.openxmlformats.org/officeDocument/2006/relationships/hyperlink" Target="https://zakon.rada.gov.ua/laws/show/2297-17#Text" TargetMode="External"/><Relationship Id="rId13" Type="http://schemas.openxmlformats.org/officeDocument/2006/relationships/hyperlink" Target="https://zakon.rada.gov.ua/laws/show/995_021#Text" TargetMode="External"/><Relationship Id="rId12" Type="http://schemas.openxmlformats.org/officeDocument/2006/relationships/hyperlink" Target="https://zakon.rada.gov.ua/laws/show/2657-19#Tex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akon.rada.gov.ua/laws/show/3792-12#Text" TargetMode="External"/><Relationship Id="rId14" Type="http://schemas.openxmlformats.org/officeDocument/2006/relationships/hyperlink" Target="https://betterinternetcentre.org/wp-content/uploads/2020/02/BetterInternetCentre_-Rec_Child-rights-online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akon.rada.gov.ua/laws/show/2145-19#Text" TargetMode="External"/><Relationship Id="rId8" Type="http://schemas.openxmlformats.org/officeDocument/2006/relationships/hyperlink" Target="https://zakon.rada.gov.ua/laws/show/2402-14#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+imNlZ20V5qkLr5Je0a7d+I8/w==">AMUW2mWOLpdp/PQvhv1Bc261SH9gHrlNidOApprgppZO87kg8NV/AsZi6IYY4rO1aC1z4cbAmPioegDok0HqO0r26nPrHgAYBVol10xi4uB0MDermR7vTsgZ3R3O7rplZNiMopMzOMP6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2021-04-19T08:48:00Z</dcterms:created>
  <dc:creator>admin</dc:creator>
</cp:coreProperties>
</file>