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D2" w:rsidRPr="001006D2" w:rsidRDefault="00702C4E" w:rsidP="001006D2">
      <w:r>
        <w:t xml:space="preserve">  </w:t>
      </w:r>
      <w:r w:rsidR="001006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ПОГОДЖЕНО                                                                            ЗАТВЕРДЖЕНО</w:t>
      </w:r>
    </w:p>
    <w:p w:rsidR="001006D2" w:rsidRPr="001006D2" w:rsidRDefault="001006D2" w:rsidP="00100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006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Протокол засідання педагогічної </w:t>
      </w:r>
      <w:r w:rsidR="001270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Наказ № 18 від 30.03.2021</w:t>
      </w:r>
    </w:p>
    <w:p w:rsidR="001006D2" w:rsidRPr="001006D2" w:rsidRDefault="001006D2" w:rsidP="001006D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1006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Старогутянської гімназії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</w:t>
      </w:r>
      <w:r w:rsidR="00765F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гімназії</w:t>
      </w:r>
    </w:p>
    <w:p w:rsidR="001006D2" w:rsidRPr="001006D2" w:rsidRDefault="001006D2" w:rsidP="001006D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1006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Смотрицької селищної ради </w:t>
      </w:r>
      <w:r w:rsidR="00765F8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______О.П.Гніздовська</w:t>
      </w:r>
    </w:p>
    <w:p w:rsidR="001006D2" w:rsidRDefault="001006D2" w:rsidP="00765F8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1006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Хмельницької області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 xml:space="preserve">12.03.2021 р. № </w:t>
      </w:r>
      <w:r w:rsidR="00765F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</w:p>
    <w:p w:rsidR="001006D2" w:rsidRDefault="001006D2" w:rsidP="001006D2">
      <w:pPr>
        <w:shd w:val="clear" w:color="auto" w:fill="FFFFFF"/>
        <w:spacing w:before="240" w:after="24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1006D2" w:rsidRDefault="001006D2" w:rsidP="001006D2">
      <w:pPr>
        <w:shd w:val="clear" w:color="auto" w:fill="FFFFFF"/>
        <w:spacing w:before="240" w:after="24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1006D2" w:rsidRPr="001006D2" w:rsidRDefault="001006D2" w:rsidP="001006D2">
      <w:pPr>
        <w:shd w:val="clear" w:color="auto" w:fill="FFFFFF"/>
        <w:spacing w:before="240" w:after="24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1006D2" w:rsidRPr="001006D2" w:rsidRDefault="001006D2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712104" w:rsidRPr="001006D2" w:rsidRDefault="00712104" w:rsidP="0071210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</w:pPr>
      <w:r w:rsidRPr="001006D2"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  <w:t>Положення</w:t>
      </w:r>
    </w:p>
    <w:p w:rsidR="00712104" w:rsidRPr="001006D2" w:rsidRDefault="00712104" w:rsidP="0071210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</w:pPr>
      <w:r w:rsidRPr="001006D2"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  <w:t>про академічну доброчесність</w:t>
      </w:r>
    </w:p>
    <w:p w:rsidR="00712104" w:rsidRPr="001006D2" w:rsidRDefault="00712104" w:rsidP="0071210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</w:pPr>
      <w:r w:rsidRPr="001006D2"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  <w:t>учасників освітнього процесу</w:t>
      </w:r>
    </w:p>
    <w:p w:rsidR="00712104" w:rsidRPr="004E51B4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</w:pPr>
      <w:r w:rsidRPr="004E51B4"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  <w:t> </w:t>
      </w:r>
      <w:r w:rsidRPr="004E51B4"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  <w:t>Старогутянської гімназії</w:t>
      </w:r>
    </w:p>
    <w:p w:rsidR="0024641A" w:rsidRPr="004E51B4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</w:pPr>
      <w:r w:rsidRPr="004E51B4">
        <w:rPr>
          <w:rFonts w:ascii="Times New Roman" w:eastAsia="Times New Roman" w:hAnsi="Times New Roman" w:cs="Times New Roman"/>
          <w:b/>
          <w:color w:val="555555"/>
          <w:sz w:val="56"/>
          <w:szCs w:val="56"/>
          <w:lang w:val="uk-UA" w:eastAsia="ru-RU"/>
        </w:rPr>
        <w:t>Смотрицької селищної ради</w:t>
      </w:r>
    </w:p>
    <w:p w:rsidR="0024641A" w:rsidRPr="004E51B4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765F8D" w:rsidRDefault="00765F8D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24641A" w:rsidRDefault="0024641A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1006D2" w:rsidRPr="0024641A" w:rsidRDefault="001006D2" w:rsidP="0024641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56"/>
          <w:szCs w:val="56"/>
          <w:lang w:val="uk-UA" w:eastAsia="ru-RU"/>
        </w:rPr>
      </w:pPr>
    </w:p>
    <w:p w:rsidR="00712104" w:rsidRPr="004E51B4" w:rsidRDefault="00712104" w:rsidP="0071210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</w:t>
      </w: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Загальні положення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 1.1. Положення про академічну доброчесність 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Старогутянській гімназії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(далі - Положення) закріплює норми та правила етичної поведінки, професійного спілкування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між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педагогічними працівникам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Старогутянської гімназії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  здобувачами  освіти.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1.2. Це Положення розроблено  на основі Конституції  України,  Законів 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їни  «Про освіту»,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«Про 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«Про  авторське  право  і  суміжні  права»,  «Про  видавничу  справу»,  «Про запобігання  корупції»,  Цивільного  Кодексу  України, Статуту  освітнього закладу, Правил  внутрішнього  розпорядку, Колективного договору та інших нормативно-правових актів чинного законодавства України та нормативних (локальних) актів школи.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1.3. Мета Положення полягає у дотриманні  високих професійних  стандартів 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усіх 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1.4. Педагогічні працівники та здобувачі 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ідвищення престижу закладу, зобов’язуються виконувати норми даного Положення.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1.5. Норми цього Положення закріплюють правила поведінки безпосередньо у трьох основних 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сферах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освітній (навчальній), науковій та виховній (морально-психологічний клімат у колективі).</w:t>
      </w:r>
    </w:p>
    <w:p w:rsidR="00712104" w:rsidRPr="004E51B4" w:rsidRDefault="00712104" w:rsidP="00712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1.6.  Дія Положення поширюється на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іх учасників освітнього процесу закладу.</w:t>
      </w:r>
    </w:p>
    <w:p w:rsidR="00712104" w:rsidRPr="004E51B4" w:rsidRDefault="00712104" w:rsidP="0071210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Поняття та принципи академічної доброчесності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2.1. Академічна  доброчесність —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2.2. Для забезпечення академічної доброчесності в освітньому закладі необхідно дотримуватися наступних принципі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демократизм;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законність;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верховенства права;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іальна справедливість;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іоритет прав і свобод людини і громадянина;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івноправність;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гарантування прав і свобод;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прозорість;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професіоналізм та компетентність;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партнерство і взаємодопомога;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повага та взаємна довіра;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відкритість і прозорість;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відповідальність за порушення академічної доброчесності.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2.3. Кожен учасник шкільної спільноти наділений правом  вільно обирати свою громадську позицію, яка проголошується відкрито при обговоренні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ішень та внутрішніх документів.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2.4. Офіційне висвітлення діяльності закладу та напрямів його розвитку може здійснювати директор або особа за його дорученням.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2.5. У разі, якщо відбулося розповсюдження інформації, яка є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неправдивою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викладеною з перекрученням фактів,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2.6. Гідним для представників шкільної спільноти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є:</w:t>
      </w:r>
      <w:proofErr w:type="gramEnd"/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шанобливе ставлення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символ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іки закладу: гімну, прапора, емблеми;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дотримання Правил внутрішнього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трудового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розпорядку;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культура зовнішнього вигляду співробітникі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учасників освітнього процесу;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дотримання правил високих стандартів ділової етики у веденні переговорі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 тому числі телефонних.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  2.7. Неприйнятним для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іх членів  шкільної спільноти є: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навмисне перешкоджання навчальній та трудовій діяльності членів спільноти;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- участь у будь-якій діяльності, що пов’язана з обманом, нечесністю;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ідробка та використання офіційних документів;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     - перевищення повноважень, що передбачені посадовими інструкціями;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ведення в закладі політичної,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рел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ігійної та іншої пропаганди;</w:t>
      </w:r>
    </w:p>
    <w:p w:rsidR="00712104" w:rsidRPr="005855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використання мобільних телефонів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час навчальних заня</w:t>
      </w:r>
      <w:r w:rsidR="005855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ть, нарад або офіційних заходів для особистих цілей;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       - вживання алкогольних напоїв, наркотичних речовин, паління у закладі, поява у стані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алкогольного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наркотичного та токсичного сп’яніння;</w:t>
      </w:r>
    </w:p>
    <w:p w:rsidR="00712104" w:rsidRPr="004E51B4" w:rsidRDefault="00712104" w:rsidP="00712104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пронесення до закладу зброї, використання газових балончиків та інших речей, що можуть зашкодити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’ю так життю людини.</w:t>
      </w:r>
    </w:p>
    <w:p w:rsidR="00712104" w:rsidRPr="004E51B4" w:rsidRDefault="00712104" w:rsidP="0071210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Забезпечення академічної доброчесності учасниками освітнього процесу</w:t>
      </w:r>
    </w:p>
    <w:p w:rsidR="00712104" w:rsidRPr="004E51B4" w:rsidRDefault="00712104" w:rsidP="0071210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Дотримання академічної доброчесності  педагогічними працівниками передбача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є:</w:t>
      </w:r>
      <w:proofErr w:type="gramEnd"/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дотримання Конвенції ООН «Про права дитини», Конституції, законів України;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- утвердження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позитивного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іміджу освітнього закладу, примноження його традицій;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дотримання етичних норм спілкування на засадах партнерства, взаємоповаги, толерантності стосункі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запобігання корупції, хабарництву;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збереження, поліпшення та раціональне використання навчально-матеріальної бази закладу;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- посилання на джерела інформації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норм про авторські права;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надання правдивої інформації про методики і результати власної навчальної (творчої, наукової) діяльності;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 - контроль за дотриманням академічної доброчесності здобувачами освіти;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об’єктивне й неупереджене оцінювання результатів навчання;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надання якісних освітніх послуг з використанням у практичній професійній діяльності інноваційних здобуткі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галузі освіти;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правил внутрішнього розпорядку, трудової дисципліни, корпоративної етики.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3.2. Дотримання академічної доброчесності  здобувачами освіти передбача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є:</w:t>
      </w:r>
      <w:proofErr w:type="gramEnd"/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  дотримання норм Конституції України;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повагу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педагогічних працівників;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повагу честі та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ідності інших осіб;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самостійне виконання навчальних завдань, завдань поточного та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ідсумкового контролю результатів навчання без використання зовнішніх джерел інформації, крім дозволених (для осіб з особливими освітніми потребами ця вимога застосовується з урахуванням їхніх потреб і можливостей);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посилання на джерела інформації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норм законодавства про авторське право;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 - особисту присутність на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іх уроках, окрім випадків, викликаних поважними причинами;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користування інфраструктурою освітнього закладу відповідально, економно та за призначенням;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сприяння збереженню та примноженню традицій закладу,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ідвищення його  престижу  власними досягненнями у навчанні, спорті, творчості.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3.3. Порушенням академічної доброчесності вважається: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академічний плагіат – оприлюднення (частково або повністю) результатів,  отриманих іншими особами, як результатів власних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іджень (творчості) та/або відтворення  опублікованих текстів (оприлюднених творів мистецтва) інших авторів без зазначення авторства;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фабрикація – вигадування даних чи фактів, що використовуються в освітньому процесі;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     - фальсифікація –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ідома зміна чи модифікація вже наявних даних, що стосуються освітнього процесу;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 - списування – виконання письмових робіт із залученням зовнішніх джерел інформації, крім дозволених для використання, зокрема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час оцінювання результатів навчання;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- обман – надання завідомо неправдивої інформації щодо власної освітньої (творчої) діяльності та організації освітнього процесу. Формами обману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є,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зокрема академічний плагіат, самоплагіат, фабрикація, фальсифікація та списування;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-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  характеру з метою отримання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неправом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ірної переваги в освітньому процесі;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- необ’єктивне оцінювання –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ідоме завищення або заниження оцінки результатів навчання здобувачів освіти.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2104" w:rsidRPr="004E51B4" w:rsidRDefault="00712104" w:rsidP="00712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 4. Види відповідальності за порушення академічної доброчесності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4.1. Види академічної відповідальності за конкретне порушення академічної доброчесності визначають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іальні закони та дане Положення.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4.2. За порушення академічної доброчесності педагогічні працівники освітнього закладу  можуть бути притягнуті до такої академічної відповідальності: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-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- спотворене представлення у методичних розробках, публікаціях чужих ідей, використання Інтернету без посилань, фальсифікація наукових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- надання освітніх послуг за певну незаконну винагороду матеріального чи нематеріального характеру залежно від розміру, об’єму є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ідставою для притягнення педагогічного працівника до відповідальності судом першої інстанції.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 4.3. За порушення академічної доброчесності здобувачі освіти можуть бути притягнуті до такої академічної відповідальності: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- повторне проходження оцінюванн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я(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контрольна робота, іспит, залік тощо);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- при моніторингу якості знань не зараховуються результати, при участі у І етапі (шкільному) Всеукраїнських учнівських олімпіадах, конкурсах – робота учасника анулюється, не оцінюється. У разі повторних випадків списування учень не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допускається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участі  в інших олімпіадах, конкурсах.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2104" w:rsidRPr="004E51B4" w:rsidRDefault="00712104" w:rsidP="0071210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           5. Заходи з попередження, виявлення та встановлення фактів порушення академічної доброчесності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5.1. При прийомі на роботу працівник знайомиться із даним Положенням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розписку після ознайомлення із правилами внутрішнього трудового розпорядку освітнього закладу.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5.2. Положення доводиться до батьківської громадськості на конференції, а також оприлюднюється на сайті закладу.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5.3.  Заступник директора </w:t>
      </w:r>
      <w:proofErr w:type="gramStart"/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г</w:t>
      </w:r>
      <w:proofErr w:type="gramEnd"/>
      <w:r w:rsidR="0024641A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імназії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що відповідає за організацію методичної роботи в закладі: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- 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ізного рівня з метою попередження порушень академічної доброчесності;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- забезпечує рецензування робіт на конкурси, на присвоєння педагогічного звання та рекомендує вчителям сервіси безкоштовної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ірки робіт на антиплагіат.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5.4.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учнями щодо етичної поведінки та неприпустимості порушення академічної доброчесності (плагіат, порушення правил оформлення, цитування, посилання на джерела інформації, списування).</w:t>
      </w:r>
    </w:p>
    <w:p w:rsidR="00712104" w:rsidRPr="004E51B4" w:rsidRDefault="00712104" w:rsidP="00712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                     6. Комі</w:t>
      </w:r>
      <w:proofErr w:type="gramStart"/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</w:t>
      </w:r>
      <w:proofErr w:type="gramEnd"/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ія з питань академічної доброчесності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 6.1. Комі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питань академічної доброчесності (далі – Комісія)  - це незалежний орган, що діє в закладі з метою забезпечення  дотримання учасниками освітнього процесу морально-етичних та правових норм  цього Положення.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  6.2. 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складу Комісії входять представники ради школи, учнівського самоврядування  та педагогічного колективу.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Склад комісії затверджується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ішенням педагогічної ради.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Термін повноважень Комісії – 1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ік.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6.3. Комі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розглядає питання порушення морально-етичних норм поведінки та правових норм цього Положення за потребою або ж  заявою учасників освітнього процесу.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6.4 Будь-який учасник освітнього процесу може звернутися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ісії з заявою про порушення норм цього Положення, внесення пропозицій або доповнень. У заяві обов’язково зазначаються особисті дані заявника (П.І.Б., контактні дані: адреса, телефон, місце роботи, посада клас, особистий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ідпис). Анонімні заяви чи заяви викладені в некоректній формі, Комісією  не розглядаються.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6.5  Комісія звітує про свою роботу раз на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ік.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6.6. Повноваження Комі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ії: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 - одержувати, розглядати заяви щодо порушення норм цього Положення та готувати відповідні висновки;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ознайомлення здобувачів освіти й педагогічних працівників із цим Положенням;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проводити інформаційну роботу щодо популяризації принципів академічної доброчесності та професійної етики педагогічних працівникі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надавати рекомендації та консультації щодо способів і шляхі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більш ефективного дотримання норм цього Положення.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2104" w:rsidRPr="004E51B4" w:rsidRDefault="00712104" w:rsidP="00712104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 7. Заключні положення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7.1. Учасники освітнього процесу мають знати Положення про академічну доброчесність.  Незнання або нерозуміння норм цього Положення не є виправданням неетичної поведінки.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Заклад забезпечує публічний доступ 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тексту Положення через власний офіційний сайт.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7.2. Прийняття принципів і норм Положення  засвідчується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ідписами членів педагогічного колективу. Здобувачі освіти ознайомлюються в обов’язковому порядку.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 7.3.  Положення про академічну доброч</w:t>
      </w:r>
      <w:r w:rsidR="004E51B4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есність </w:t>
      </w:r>
      <w:r w:rsidR="004E51B4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Старогутянської гімназії Смотрицької селищної ради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затверджується педагогічною радою закладу та вводиться в дію наказом директора.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7.4. Зміни та доповнення до Положення можуть </w:t>
      </w:r>
      <w:proofErr w:type="gramStart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бути</w:t>
      </w:r>
      <w:proofErr w:type="gramEnd"/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внесені будь-яким учасником освітнього процесу за под</w:t>
      </w:r>
      <w:r w:rsidR="004E51B4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анням до педагогічної ради</w:t>
      </w:r>
      <w:r w:rsidR="004E51B4"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гімназії</w:t>
      </w: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2104" w:rsidRPr="004E51B4" w:rsidRDefault="00712104" w:rsidP="00712104">
      <w:pPr>
        <w:shd w:val="clear" w:color="auto" w:fill="FFFFFF"/>
        <w:spacing w:before="240" w:after="24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51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4E43" w:rsidRPr="004E51B4" w:rsidRDefault="00514E43" w:rsidP="00712104">
      <w:pPr>
        <w:tabs>
          <w:tab w:val="left" w:pos="1560"/>
        </w:tabs>
        <w:rPr>
          <w:rFonts w:ascii="Times New Roman" w:hAnsi="Times New Roman" w:cs="Times New Roman"/>
        </w:rPr>
      </w:pPr>
    </w:p>
    <w:sectPr w:rsidR="00514E43" w:rsidRPr="004E51B4" w:rsidSect="0051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12104"/>
    <w:rsid w:val="001006D2"/>
    <w:rsid w:val="00127053"/>
    <w:rsid w:val="0024641A"/>
    <w:rsid w:val="002E2F8E"/>
    <w:rsid w:val="004E51B4"/>
    <w:rsid w:val="00514E43"/>
    <w:rsid w:val="005855B4"/>
    <w:rsid w:val="005B1678"/>
    <w:rsid w:val="00702C4E"/>
    <w:rsid w:val="00712104"/>
    <w:rsid w:val="00765F8D"/>
    <w:rsid w:val="00933C16"/>
    <w:rsid w:val="00B47AF6"/>
    <w:rsid w:val="00C52CD8"/>
    <w:rsid w:val="00D27C33"/>
    <w:rsid w:val="00D8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104"/>
  </w:style>
  <w:style w:type="character" w:styleId="a3">
    <w:name w:val="Emphasis"/>
    <w:basedOn w:val="a0"/>
    <w:uiPriority w:val="20"/>
    <w:qFormat/>
    <w:rsid w:val="007121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12</cp:revision>
  <dcterms:created xsi:type="dcterms:W3CDTF">2020-01-13T17:06:00Z</dcterms:created>
  <dcterms:modified xsi:type="dcterms:W3CDTF">2021-09-17T11:41:00Z</dcterms:modified>
</cp:coreProperties>
</file>