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8B" w:rsidRPr="00D850F7" w:rsidRDefault="001A158B" w:rsidP="001A15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b/>
          <w:sz w:val="24"/>
          <w:szCs w:val="24"/>
          <w:lang w:val="ru-RU"/>
        </w:rPr>
        <w:t>СТАРОНЕКРАСІВСЬКИЙ</w:t>
      </w:r>
      <w:r w:rsidRPr="00D85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ЗАКЛАД ЗАГАЛЬНОЇ СЕРЕДНЬОЇ ОСВІТИ</w:t>
      </w:r>
    </w:p>
    <w:p w:rsidR="001A158B" w:rsidRPr="001D6237" w:rsidRDefault="001A158B" w:rsidP="001A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F7">
        <w:rPr>
          <w:rFonts w:ascii="Times New Roman" w:hAnsi="Times New Roman" w:cs="Times New Roman"/>
          <w:b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6237">
        <w:rPr>
          <w:rFonts w:ascii="Times New Roman" w:hAnsi="Times New Roman" w:cs="Times New Roman"/>
          <w:b/>
          <w:sz w:val="24"/>
          <w:szCs w:val="24"/>
        </w:rPr>
        <w:t>10</w:t>
      </w: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1A158B" w:rsidRPr="00D850F7" w:rsidRDefault="00BF77B8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25.03.2024</w:t>
      </w:r>
      <w:r w:rsidR="001A158B"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Голова -  </w:t>
      </w:r>
      <w:proofErr w:type="spellStart"/>
      <w:r w:rsidRPr="00D850F7">
        <w:rPr>
          <w:rFonts w:ascii="Times New Roman" w:hAnsi="Times New Roman" w:cs="Times New Roman"/>
          <w:sz w:val="24"/>
          <w:szCs w:val="24"/>
          <w:lang w:val="uk-UA"/>
        </w:rPr>
        <w:t>Киричевська</w:t>
      </w:r>
      <w:proofErr w:type="spellEnd"/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>Секретар – Маслова Г.Р.</w:t>
      </w: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>Присутні члени педколективу:</w:t>
      </w:r>
      <w:r w:rsidR="001D6237">
        <w:rPr>
          <w:rFonts w:ascii="Times New Roman" w:hAnsi="Times New Roman" w:cs="Times New Roman"/>
          <w:sz w:val="24"/>
          <w:szCs w:val="24"/>
          <w:lang w:val="uk-UA"/>
        </w:rPr>
        <w:t xml:space="preserve"> 31</w:t>
      </w: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>Відсутні:</w:t>
      </w:r>
      <w:r w:rsidR="001D623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1A158B" w:rsidRPr="00D850F7" w:rsidRDefault="00BF77B8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1.Про вибір підручників для 11</w:t>
      </w:r>
      <w:r w:rsidR="001A158B"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58B">
        <w:rPr>
          <w:rFonts w:ascii="Times New Roman" w:hAnsi="Times New Roman" w:cs="Times New Roman"/>
          <w:sz w:val="24"/>
          <w:szCs w:val="24"/>
          <w:lang w:val="uk-UA"/>
        </w:rPr>
        <w:t>класу</w:t>
      </w:r>
    </w:p>
    <w:p w:rsidR="001A158B" w:rsidRPr="00D850F7" w:rsidRDefault="001A158B" w:rsidP="001A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37F0" w:rsidRPr="00D24C42" w:rsidRDefault="001A158B" w:rsidP="00D24C42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uk-UA"/>
        </w:rPr>
      </w:pPr>
      <w:r w:rsidRPr="00D24C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СЛУХАЛИ:</w:t>
      </w:r>
      <w:r w:rsidR="00F2551A" w:rsidRPr="00D24C4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D24C42">
        <w:rPr>
          <w:rFonts w:ascii="Times New Roman" w:hAnsi="Times New Roman" w:cs="Times New Roman"/>
          <w:color w:val="auto"/>
          <w:sz w:val="24"/>
          <w:szCs w:val="24"/>
          <w:lang w:val="uk-UA"/>
        </w:rPr>
        <w:t>Киричевську</w:t>
      </w:r>
      <w:proofErr w:type="spellEnd"/>
      <w:r w:rsidRPr="00D24C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А.В., директора закладу, яка ознайомила уча</w:t>
      </w:r>
      <w:r w:rsidR="003B37F0" w:rsidRPr="00D24C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сників педради зі змістом </w:t>
      </w:r>
      <w:r w:rsidRPr="00D24C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24C42" w:rsidRPr="00D24C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Наказ</w:t>
      </w:r>
      <w:r w:rsidR="00D24C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у</w:t>
      </w:r>
      <w:r w:rsidR="00D24C42" w:rsidRPr="00D24C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МОН від 15.03.2024 № 330 “Про внесення змін до Переліку навчальних предметів та назв підручників, з яких оголошується конкурс підручників (крім електронних) для здобувачів загальної середньої освіти та педагогічних працівників у 2023-2024 роках (11 клас)”</w:t>
      </w:r>
      <w:r w:rsidR="00D24C42" w:rsidRPr="00D24C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та </w:t>
      </w:r>
      <w:hyperlink r:id="rId6" w:tgtFrame="_blank" w:history="1">
        <w:r w:rsidR="00D24C42" w:rsidRPr="00D24C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н</w:t>
        </w:r>
        <w:r w:rsidR="00D24C42" w:rsidRPr="00D24C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аказом МОН України від 05.02.2024 № 123</w:t>
        </w:r>
      </w:hyperlink>
      <w:r w:rsidR="00D24C42" w:rsidRPr="00D24C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D24C42" w:rsidRPr="00D24C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«Про організацію повторного видання підручників для 11 класу закладів загальної середньої освіти» </w:t>
      </w:r>
    </w:p>
    <w:p w:rsidR="00F2551A" w:rsidRPr="00F2551A" w:rsidRDefault="001A158B" w:rsidP="00F255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ВИСТУПИЛИ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25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Коваленко Є.К., заступник директора з навчально виховної роботи, яка  повідомила, що всі вчителі- предметники ознайомилися з електронними оригінал – макетами </w:t>
      </w:r>
      <w:r w:rsidR="00C14D4E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та озвучила перелік обраних підручників </w:t>
      </w:r>
      <w:r w:rsidR="00C14D4E">
        <w:rPr>
          <w:rFonts w:ascii="Times New Roman" w:hAnsi="Times New Roman" w:cs="Times New Roman"/>
          <w:sz w:val="24"/>
          <w:szCs w:val="24"/>
          <w:lang w:val="uk-UA"/>
        </w:rPr>
        <w:t xml:space="preserve"> конкурсного відбору та підручників для</w:t>
      </w:r>
      <w:r w:rsidR="00BF77B8">
        <w:rPr>
          <w:rFonts w:ascii="Times New Roman" w:hAnsi="Times New Roman" w:cs="Times New Roman"/>
          <w:sz w:val="24"/>
          <w:szCs w:val="24"/>
          <w:lang w:val="uk-UA"/>
        </w:rPr>
        <w:t xml:space="preserve"> повторного видання для учнів 11 класу. Кількість дітей 11 класу у 2024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F77B8">
        <w:rPr>
          <w:rFonts w:ascii="Times New Roman" w:hAnsi="Times New Roman" w:cs="Times New Roman"/>
          <w:sz w:val="24"/>
          <w:szCs w:val="24"/>
          <w:lang w:val="uk-UA"/>
        </w:rPr>
        <w:t>2025 навчальному році складає 26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C14D4E">
        <w:rPr>
          <w:rFonts w:ascii="Times New Roman" w:hAnsi="Times New Roman" w:cs="Times New Roman"/>
          <w:sz w:val="24"/>
          <w:szCs w:val="24"/>
          <w:lang w:val="uk-UA"/>
        </w:rPr>
        <w:t>Запропонувала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зробити </w:t>
      </w:r>
      <w:r w:rsidR="00A56CD3">
        <w:rPr>
          <w:rFonts w:ascii="Times New Roman" w:hAnsi="Times New Roman" w:cs="Times New Roman"/>
          <w:sz w:val="24"/>
          <w:szCs w:val="24"/>
          <w:lang w:val="uk-UA"/>
        </w:rPr>
        <w:t xml:space="preserve"> замовлення підручників на</w:t>
      </w:r>
      <w:r w:rsidR="00BF77B8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4D1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 w:rsidR="00BF77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56CD3">
        <w:rPr>
          <w:rFonts w:ascii="Times New Roman" w:hAnsi="Times New Roman" w:cs="Times New Roman"/>
          <w:sz w:val="24"/>
          <w:szCs w:val="24"/>
          <w:lang w:val="uk-UA"/>
        </w:rPr>
        <w:t xml:space="preserve"> та 1 комплект</w:t>
      </w:r>
      <w:r w:rsidR="004D126F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вчителів</w:t>
      </w:r>
    </w:p>
    <w:p w:rsidR="00F2551A" w:rsidRDefault="004D126F" w:rsidP="00F255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126F">
        <w:rPr>
          <w:rFonts w:ascii="Times New Roman" w:hAnsi="Times New Roman" w:cs="Times New Roman"/>
          <w:b/>
          <w:sz w:val="24"/>
          <w:szCs w:val="24"/>
          <w:lang w:val="uk-UA"/>
        </w:rPr>
        <w:t>КОНКУРСНИЙ ВІДБІР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959"/>
        <w:gridCol w:w="1425"/>
        <w:gridCol w:w="1275"/>
        <w:gridCol w:w="1309"/>
      </w:tblGrid>
      <w:tr w:rsidR="001D6237" w:rsidRPr="001D6237" w:rsidTr="00183681">
        <w:tc>
          <w:tcPr>
            <w:tcW w:w="5959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27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309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вчителів</w:t>
            </w:r>
          </w:p>
        </w:tc>
      </w:tr>
      <w:tr w:rsidR="001D6237" w:rsidRPr="001D6237" w:rsidTr="00183681">
        <w:tc>
          <w:tcPr>
            <w:tcW w:w="5959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uk-UA"/>
              </w:rPr>
              <w:t>1.1.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Зарубіжна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література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Ніколенко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О. М.,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Ковальова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Л. Л., Лебедь Д. О., Юлдашева Л. П., Орлова О. В.,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Ніколенко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К. С.).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7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309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D6237" w:rsidRPr="001D6237" w:rsidTr="00183681">
        <w:tc>
          <w:tcPr>
            <w:tcW w:w="5959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2. «Зарубіжна література (рівень стандарту)» підручник для 11 класу закладів загальної середньої освіти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авт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Міляновська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 Н.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Р.,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Міляновський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 Е. С.).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D81" w:rsidRPr="001D6237" w:rsidTr="00183681">
        <w:tc>
          <w:tcPr>
            <w:tcW w:w="5959" w:type="dxa"/>
          </w:tcPr>
          <w:p w:rsidR="00BA1D81" w:rsidRPr="001D6237" w:rsidRDefault="00BA1D81" w:rsidP="00BA1D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3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Зарубіжна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література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Ковбасенко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Ю. І.).</w:t>
            </w:r>
          </w:p>
        </w:tc>
        <w:tc>
          <w:tcPr>
            <w:tcW w:w="1425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237" w:rsidRPr="001D6237" w:rsidTr="00183681">
        <w:tc>
          <w:tcPr>
            <w:tcW w:w="5959" w:type="dxa"/>
          </w:tcPr>
          <w:p w:rsidR="00BA1D81" w:rsidRPr="001D6237" w:rsidRDefault="00BA1D81" w:rsidP="00BA1D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4.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«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Зарубіжна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література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Ісаєва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О. О., Клименко Ж. В., Мельник А. О.).</w:t>
            </w:r>
          </w:p>
        </w:tc>
        <w:tc>
          <w:tcPr>
            <w:tcW w:w="1425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2551A" w:rsidRDefault="001062D0" w:rsidP="00F255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ПОВТОРНЕ ВИДАННЯ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847"/>
        <w:gridCol w:w="1425"/>
        <w:gridCol w:w="1407"/>
        <w:gridCol w:w="1665"/>
      </w:tblGrid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40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66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вчителів</w:t>
            </w: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BA1D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</w:pPr>
            <w:proofErr w:type="gramStart"/>
            <w:r w:rsidRPr="001D623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1.1.</w:t>
            </w: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.</w:t>
            </w:r>
            <w:proofErr w:type="gramEnd"/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«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Українська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мова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</w:t>
            </w:r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</w:t>
            </w:r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 </w:t>
            </w:r>
            <w:r w:rsidR="00BA1D81"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Авраменко О. М.)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7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66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Українська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мова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Заболотний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Заболотний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В. В.)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2.1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«Українська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література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Авраменко О. М.)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7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66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2,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 «Українська література (рівень стандарту)» підручник для 11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класу закладів загальної середньої освіти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авт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Слоньовська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О.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В.,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Мафтин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Н.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В., Вівчарик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Н.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М.)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Українська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література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Фасоля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А. М., Яценко Т. О.,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Уліщенко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В. В., Тименко В. М.,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Бійчук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Г. Л.)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D6237" w:rsidRPr="001D6237" w:rsidTr="00F2551A">
        <w:tc>
          <w:tcPr>
            <w:tcW w:w="5847" w:type="dxa"/>
          </w:tcPr>
          <w:p w:rsidR="00BA1D81" w:rsidRPr="001D6237" w:rsidRDefault="00BA1D81" w:rsidP="00BA1D81">
            <w:pPr>
              <w:pStyle w:val="1"/>
              <w:shd w:val="clear" w:color="auto" w:fill="FFFFFF"/>
              <w:spacing w:before="0"/>
              <w:outlineLvl w:val="0"/>
              <w:rPr>
                <w:rFonts w:ascii="Helvetica" w:eastAsia="Times New Roman" w:hAnsi="Helvetica" w:cs="Helvetica"/>
                <w:b/>
                <w:bCs/>
                <w:color w:val="auto"/>
                <w:kern w:val="36"/>
                <w:sz w:val="36"/>
                <w:szCs w:val="36"/>
                <w:lang w:val="ru-RU"/>
              </w:rPr>
            </w:pP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3.1.</w:t>
            </w:r>
            <w:r w:rsidRPr="001D6237">
              <w:rPr>
                <w:rFonts w:ascii="Helvetica" w:eastAsia="Times New Roman" w:hAnsi="Helvetica" w:cs="Helvetica"/>
                <w:b/>
                <w:bCs/>
                <w:color w:val="auto"/>
                <w:kern w:val="36"/>
                <w:sz w:val="36"/>
                <w:szCs w:val="36"/>
                <w:lang w:val="ru-RU"/>
              </w:rPr>
              <w:t xml:space="preserve"> 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«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Англійська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мова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(11-й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рік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навчання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Карпюк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О. Д.)</w:t>
            </w:r>
          </w:p>
        </w:tc>
        <w:tc>
          <w:tcPr>
            <w:tcW w:w="1425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7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665" w:type="dxa"/>
          </w:tcPr>
          <w:p w:rsidR="00BA1D81" w:rsidRPr="001D6237" w:rsidRDefault="00BA1D81" w:rsidP="00BA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3.1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«Математика (алгебра і початки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аналізу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геометрія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Нелін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Є.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П., Долгова О. Є.)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7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66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 «Математика (алгебра і початки аналізу та геометрія, рівень стандарту)» підручник для 11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класу закладів загальної середньої освіти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авт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 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>Істер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 О. С.)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«Математика (алгебра і початки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аналізу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геометрія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стандарту)»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Мерзляк А. Г.,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Номіровський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Д. А.,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Полонський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В. Б.,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>Якір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М. С.)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</w:tcPr>
          <w:p w:rsidR="00F2551A" w:rsidRPr="001D6237" w:rsidRDefault="00F2551A" w:rsidP="0018368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D6237" w:rsidRPr="001D6237" w:rsidTr="00F2551A">
        <w:tc>
          <w:tcPr>
            <w:tcW w:w="5847" w:type="dxa"/>
          </w:tcPr>
          <w:p w:rsidR="00F2551A" w:rsidRPr="001D6237" w:rsidRDefault="00F2551A" w:rsidP="001836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</w:pPr>
            <w:r w:rsidRPr="001D623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профільний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рівень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)»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підручник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для 11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класу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закладів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загальної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середньої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освіти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(авт. Руденко В. Д.,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Речич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>Потієнко</w:t>
            </w:r>
            <w:proofErr w:type="spellEnd"/>
            <w:r w:rsidRPr="001D6237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ru-RU"/>
              </w:rPr>
              <w:t xml:space="preserve"> В. О.)</w:t>
            </w:r>
          </w:p>
        </w:tc>
        <w:tc>
          <w:tcPr>
            <w:tcW w:w="142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7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665" w:type="dxa"/>
          </w:tcPr>
          <w:p w:rsidR="00F2551A" w:rsidRPr="001D6237" w:rsidRDefault="00F2551A" w:rsidP="00183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1D6237" w:rsidRDefault="001D6237" w:rsidP="001F2DD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DD2" w:rsidRPr="00D850F7" w:rsidRDefault="00D24C42" w:rsidP="001F2D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2DD2" w:rsidRPr="00D850F7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1F2DD2" w:rsidRPr="00D850F7" w:rsidRDefault="001F2DD2" w:rsidP="001F2DD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 – виховної роботи заповнити форму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конкурсного відбору  та форму повтор</w:t>
      </w:r>
      <w:r w:rsidR="00F2551A">
        <w:rPr>
          <w:rFonts w:ascii="Times New Roman" w:hAnsi="Times New Roman" w:cs="Times New Roman"/>
          <w:sz w:val="24"/>
          <w:szCs w:val="24"/>
          <w:lang w:val="uk-UA"/>
        </w:rPr>
        <w:t>ного видання  підручників для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( за</w:t>
      </w:r>
      <w:r w:rsidR="00F2551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кількістю: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учнів, 1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для вчителів) та передати результати вибору в паперовому та електронному вигляді до відділу освіти Ізмаїльської районної державної адміністрації</w:t>
      </w:r>
    </w:p>
    <w:p w:rsidR="004F53A5" w:rsidRPr="00F2551A" w:rsidRDefault="001F2DD2" w:rsidP="00F2551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скан – копію даного протоколу на сайті  </w:t>
      </w:r>
      <w:proofErr w:type="spellStart"/>
      <w:r w:rsidRPr="00D850F7">
        <w:rPr>
          <w:rFonts w:ascii="Times New Roman" w:hAnsi="Times New Roman" w:cs="Times New Roman"/>
          <w:sz w:val="24"/>
          <w:szCs w:val="24"/>
          <w:lang w:val="uk-UA"/>
        </w:rPr>
        <w:t>Старонекрасівського</w:t>
      </w:r>
      <w:proofErr w:type="spellEnd"/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ЗЗСО.</w:t>
      </w:r>
    </w:p>
    <w:p w:rsidR="001D6237" w:rsidRDefault="001D6237" w:rsidP="001D623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D6237" w:rsidRDefault="001D6237" w:rsidP="001D623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F2DD2" w:rsidRPr="00D850F7" w:rsidRDefault="001F2DD2" w:rsidP="001D623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ради: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Анжела КИРИЧЕВСЬКА</w:t>
      </w:r>
    </w:p>
    <w:p w:rsidR="001F2DD2" w:rsidRPr="00D850F7" w:rsidRDefault="001F2DD2" w:rsidP="001D623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                   </w:t>
      </w:r>
      <w:r w:rsidR="001D6237">
        <w:rPr>
          <w:rFonts w:ascii="Times New Roman" w:hAnsi="Times New Roman" w:cs="Times New Roman"/>
          <w:sz w:val="24"/>
          <w:szCs w:val="24"/>
        </w:rPr>
        <w:t xml:space="preserve">    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 Ганна МАСЛОВА</w:t>
      </w:r>
    </w:p>
    <w:p w:rsidR="00D24C42" w:rsidRDefault="00D24C42" w:rsidP="001F2D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2DD2" w:rsidRPr="00D850F7" w:rsidRDefault="001F2DD2" w:rsidP="00D24C42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>Безпосередній вибір підручників здійснили:</w:t>
      </w:r>
    </w:p>
    <w:p w:rsidR="001F2DD2" w:rsidRPr="00D850F7" w:rsidRDefault="001F2DD2" w:rsidP="001F2D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C4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Керівники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ичних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об’єднань: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C4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>Тетяна СІЛАЄВА</w:t>
      </w:r>
    </w:p>
    <w:p w:rsidR="001F2DD2" w:rsidRPr="00D850F7" w:rsidRDefault="001F2DD2" w:rsidP="001F2D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D24C4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>Лариса НІКОЛЕНКО</w:t>
      </w:r>
    </w:p>
    <w:p w:rsidR="001F2DD2" w:rsidRPr="00D850F7" w:rsidRDefault="001F2DD2" w:rsidP="001F2D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D24C4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0F7">
        <w:rPr>
          <w:rFonts w:ascii="Times New Roman" w:hAnsi="Times New Roman" w:cs="Times New Roman"/>
          <w:sz w:val="24"/>
          <w:szCs w:val="24"/>
          <w:lang w:val="uk-UA"/>
        </w:rPr>
        <w:t>Ірина БОЙКОВА</w:t>
      </w:r>
    </w:p>
    <w:p w:rsidR="001F2DD2" w:rsidRPr="00D850F7" w:rsidRDefault="001F2DD2" w:rsidP="001F2D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850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2DD2" w:rsidRPr="00D26897" w:rsidRDefault="001F2DD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F2DD2" w:rsidRPr="00D26897" w:rsidSect="00F2551A">
      <w:pgSz w:w="12240" w:h="15840"/>
      <w:pgMar w:top="426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60FE"/>
    <w:multiLevelType w:val="multilevel"/>
    <w:tmpl w:val="6AF83C72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hint="default"/>
        <w:color w:val="auto"/>
      </w:rPr>
    </w:lvl>
  </w:abstractNum>
  <w:abstractNum w:abstractNumId="1" w15:restartNumberingAfterBreak="0">
    <w:nsid w:val="6C4A192F"/>
    <w:multiLevelType w:val="hybridMultilevel"/>
    <w:tmpl w:val="A646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8FB"/>
    <w:multiLevelType w:val="hybridMultilevel"/>
    <w:tmpl w:val="86C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EE"/>
    <w:rsid w:val="00030530"/>
    <w:rsid w:val="00085572"/>
    <w:rsid w:val="00086C4F"/>
    <w:rsid w:val="001062D0"/>
    <w:rsid w:val="00111A34"/>
    <w:rsid w:val="001A158B"/>
    <w:rsid w:val="001C2002"/>
    <w:rsid w:val="001D6237"/>
    <w:rsid w:val="001F2DD2"/>
    <w:rsid w:val="00210797"/>
    <w:rsid w:val="002F0083"/>
    <w:rsid w:val="0036656B"/>
    <w:rsid w:val="003B37F0"/>
    <w:rsid w:val="004D126F"/>
    <w:rsid w:val="004F53A5"/>
    <w:rsid w:val="005C0BBE"/>
    <w:rsid w:val="0072419A"/>
    <w:rsid w:val="00735647"/>
    <w:rsid w:val="0079254C"/>
    <w:rsid w:val="00855AAD"/>
    <w:rsid w:val="008D4CEF"/>
    <w:rsid w:val="00A408EE"/>
    <w:rsid w:val="00A56CD3"/>
    <w:rsid w:val="00BA1D81"/>
    <w:rsid w:val="00BF18D3"/>
    <w:rsid w:val="00BF77B8"/>
    <w:rsid w:val="00C14D4E"/>
    <w:rsid w:val="00CC23B0"/>
    <w:rsid w:val="00CF46D0"/>
    <w:rsid w:val="00D24C42"/>
    <w:rsid w:val="00D26897"/>
    <w:rsid w:val="00E73AA6"/>
    <w:rsid w:val="00F2551A"/>
    <w:rsid w:val="00F72130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C283"/>
  <w15:chartTrackingRefBased/>
  <w15:docId w15:val="{74AF3214-664B-4CF6-AB2B-1AE16855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8B"/>
  </w:style>
  <w:style w:type="paragraph" w:styleId="1">
    <w:name w:val="heading 1"/>
    <w:basedOn w:val="a"/>
    <w:next w:val="a"/>
    <w:link w:val="10"/>
    <w:uiPriority w:val="9"/>
    <w:qFormat/>
    <w:rsid w:val="00366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65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3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yshov.com/FR/28592/Nakaz_123_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D8FD-A9E2-4C6F-8246-6AF9590F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2024-03-21T12:10:00Z</cp:lastPrinted>
  <dcterms:created xsi:type="dcterms:W3CDTF">2023-05-04T06:25:00Z</dcterms:created>
  <dcterms:modified xsi:type="dcterms:W3CDTF">2024-03-21T13:00:00Z</dcterms:modified>
</cp:coreProperties>
</file>