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C8" w:rsidRPr="001C0EC8" w:rsidRDefault="001C0EC8" w:rsidP="001C0E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</w:t>
      </w:r>
    </w:p>
    <w:p w:rsidR="001C0EC8" w:rsidRPr="001C0EC8" w:rsidRDefault="001C0EC8" w:rsidP="001C0E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подання та розгляду (з дотриманням конфіденційності) заяв</w:t>
      </w:r>
    </w:p>
    <w:p w:rsidR="001C0EC8" w:rsidRPr="001C0EC8" w:rsidRDefault="001C0EC8" w:rsidP="001C0E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випадки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(цькуванню) в  закладі дошкільної освіти            ясла-садок «Сонечко»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Кілійської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1C0EC8" w:rsidRPr="001C0EC8" w:rsidRDefault="001C0EC8" w:rsidP="001C0E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C0EC8" w:rsidRPr="001C0EC8" w:rsidRDefault="001C0EC8" w:rsidP="001C0EC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Загальні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питання</w:t>
      </w:r>
      <w:proofErr w:type="spellEnd"/>
    </w:p>
    <w:p w:rsidR="001C0EC8" w:rsidRPr="001C0EC8" w:rsidRDefault="001C0EC8" w:rsidP="001C0EC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Порядок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розроблено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до Закону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деяких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законодавчих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актів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цькуванню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)».</w:t>
      </w:r>
    </w:p>
    <w:p w:rsidR="001C0EC8" w:rsidRPr="001C0EC8" w:rsidRDefault="001C0EC8" w:rsidP="001C0EC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Порядок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визначає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процедуру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подання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розгляду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цькуванню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C0EC8" w:rsidRPr="001C0EC8" w:rsidRDefault="001C0EC8" w:rsidP="001C0EC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Заявниками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здобувачі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батьки/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законні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працівники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педагогічні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працівники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особи.</w:t>
      </w:r>
    </w:p>
    <w:p w:rsidR="001C0EC8" w:rsidRPr="001C0EC8" w:rsidRDefault="001C0EC8" w:rsidP="001C0EC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Заявник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забезпечує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достовірність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повноту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наданої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терміни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вживаються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у таких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значеннях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0EC8" w:rsidRPr="001C0EC8" w:rsidRDefault="001C0EC8" w:rsidP="001C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цькування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 –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діяння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бездіяльність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учасників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полягають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психологічному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фізичному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економічному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сексуальному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насильстві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у тому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числі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застосуванням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засобів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електронних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комунікацій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вчиняються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стосовно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малолітньої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неповнолітньої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особи та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)такою особою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стосовно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учасників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освітнього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внаслідок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чого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могла бути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заподіяна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шкода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психічному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фізичному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здоров’ю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потерпілого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Типовими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ознаками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цькування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>) є:</w:t>
      </w:r>
    </w:p>
    <w:p w:rsidR="001C0EC8" w:rsidRPr="001C0EC8" w:rsidRDefault="001C0EC8" w:rsidP="001C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систематичність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повторюваність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діяння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0EC8" w:rsidRPr="001C0EC8" w:rsidRDefault="001C0EC8" w:rsidP="001C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наявність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сторін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кривдник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булер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потерпілий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(жертва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спостерігачі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C0EC8" w:rsidRPr="001C0EC8" w:rsidRDefault="001C0EC8" w:rsidP="001C0EC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бездіяльність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кривдника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наслідком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заподіяння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психічної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фізичної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шкоди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приниження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страх,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тривога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підпорядкування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потерпілого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інтересам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кривдника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, та/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спричинення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ізоляції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потерпілого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Подання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заяви про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випадки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цькуванню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учасниками або свідками якого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стали,або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керівнику закладу.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Розгляд та неупереджене з’ясування обставин випадків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здійснюється відповідно до поданих заявниками заяв про випадки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у усній, так і в письмовій формі.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Заяви,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надійшли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електронну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пошту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отримує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діловод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яка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зобов’язана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терміново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повідомити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відповідальну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особу.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lastRenderedPageBreak/>
        <w:t>Прийом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реєстрацію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поданих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відповідальна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особа, а 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відсутності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особисто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Заяви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реєструються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окремому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журналі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реєстрації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цькування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Форма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примірний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зміст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Заяви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оприлюднено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офіційному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веб-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сайті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Датою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подання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є дата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прийняття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Розгляд Заяв здійснює керівник закладу з дотриманням конфіденційності.</w:t>
      </w:r>
    </w:p>
    <w:p w:rsidR="001C0EC8" w:rsidRPr="001C0EC8" w:rsidRDefault="001C0EC8" w:rsidP="001C0E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Відповідальна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особа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Відповідальною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особою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призначається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працівник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 числа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функцій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відповідальної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відноситься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прийом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реєстрація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повідомлення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Відповідальна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особа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призначається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наказом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закладу.</w:t>
      </w:r>
    </w:p>
    <w:p w:rsidR="001C0EC8" w:rsidRPr="001C0EC8" w:rsidRDefault="001C0EC8" w:rsidP="001C0EC8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0EC8" w:rsidRPr="001C0EC8" w:rsidRDefault="001C0EC8" w:rsidP="001C0EC8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Комісія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розгляду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випадків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цькування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За результатами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розгляду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Заяви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видає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розслідуваннявипадків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цькування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визначенням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уповноважених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розслідування випадків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уповноважені особи мають право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вимагатиписьмові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пояснення та матеріали у сторін.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прийняття рішення за результатами розслідування керівник закладу створює комісію з розгляду випадків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скликає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засідання.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Комісія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створюється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наказом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складу комісії можуть входити педагогічні працівники (у томі числі психолог, соціальний педагог), батьки постраждалого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булера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, керівник закладу та інші заінтересовані особи.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Комісія у своїй діяльності керується законодавством України та іншими нормативними актами.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Комісія визначила що це був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а не одноразовий конфлікт чи сварка, тобто відповідні дії носять систематичний характер, то керівник закладу освіти зобов’язаний повідомити уповноважені органи Національної поліції (ювенальна поліція) та службу у справах дітей.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а постраждалий не згодний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зцим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, то він може одразу звернутись до органів Національної поліції України із заявою, про що керівник закладу освіти має повідомити постраждалого.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Потерпілий чи його/її представник можуть звертатися відразу до уповноважених органів Національної поліції України (поліція) та службу у справах дітей з повідомленням про випадки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Батьки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зобов’язані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виконувати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рекомендації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0EC8" w:rsidRPr="001C0EC8" w:rsidRDefault="001C0EC8" w:rsidP="001C0EC8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Терміни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подання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розгляду</w:t>
      </w:r>
      <w:proofErr w:type="spellEnd"/>
      <w:r w:rsidRPr="001C0E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b/>
          <w:sz w:val="28"/>
          <w:szCs w:val="28"/>
        </w:rPr>
        <w:t>Заяв</w:t>
      </w:r>
      <w:proofErr w:type="spellEnd"/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Заявники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зобов’язані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терміново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повідомляти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керівнику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закладу про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цькування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), 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подати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Заяву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розслідування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визначенням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уповноважених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видається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протягом1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робочого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дня з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дати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подання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Заяви.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Розслідування випадків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уповноваженими особами здійснюється протягом 3робочих днів з дати видання рішення про проведення розслідування.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За результатами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розслідування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протягом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робочогодня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створюється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Комісія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призначається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визначену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дату але не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пізніше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чим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через 3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робочих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дні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після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EC8" w:rsidRPr="001C0EC8" w:rsidRDefault="001C0EC8" w:rsidP="001C0EC8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 закладу зобов’язаний повідомити уповноважені органи Національної поліції (ювенальна поліція) та службу у справах дітей про кваліфікований Комісією випадок </w:t>
      </w:r>
      <w:proofErr w:type="spellStart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(цькування)протягом одного дня.</w:t>
      </w:r>
    </w:p>
    <w:p w:rsidR="001C0EC8" w:rsidRPr="001C0EC8" w:rsidRDefault="001C0EC8" w:rsidP="001C0EC8">
      <w:pPr>
        <w:spacing w:after="0"/>
        <w:ind w:firstLine="538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1C0EC8" w:rsidRPr="001C0EC8" w:rsidRDefault="001C0EC8" w:rsidP="001C0EC8">
      <w:pPr>
        <w:tabs>
          <w:tab w:val="left" w:pos="72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0EC8">
        <w:rPr>
          <w:rFonts w:ascii="Times New Roman" w:eastAsia="Calibri" w:hAnsi="Times New Roman" w:cs="Times New Roman"/>
          <w:sz w:val="28"/>
          <w:szCs w:val="28"/>
          <w:lang w:val="uk-UA"/>
        </w:rPr>
        <w:t>Директор                                                                       Олена ПУЙЧЕСКУ</w:t>
      </w:r>
    </w:p>
    <w:p w:rsidR="00B900B8" w:rsidRPr="00B900B8" w:rsidRDefault="00B900B8" w:rsidP="00B90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00B8" w:rsidRPr="00B900B8" w:rsidRDefault="00B900B8" w:rsidP="00B900B8">
      <w:pPr>
        <w:tabs>
          <w:tab w:val="left" w:pos="685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7E20" w:rsidRPr="00AB561A" w:rsidRDefault="00697E20">
      <w:pPr>
        <w:rPr>
          <w:rFonts w:ascii="Times New Roman" w:hAnsi="Times New Roman" w:cs="Times New Roman"/>
          <w:sz w:val="28"/>
          <w:szCs w:val="28"/>
        </w:rPr>
      </w:pPr>
    </w:p>
    <w:sectPr w:rsidR="00697E20" w:rsidRPr="00AB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80098"/>
    <w:multiLevelType w:val="hybridMultilevel"/>
    <w:tmpl w:val="FE14100C"/>
    <w:lvl w:ilvl="0" w:tplc="4ECA01C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731A0F85"/>
    <w:multiLevelType w:val="multilevel"/>
    <w:tmpl w:val="466C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C2"/>
    <w:rsid w:val="001C0EC8"/>
    <w:rsid w:val="00697E20"/>
    <w:rsid w:val="00AB561A"/>
    <w:rsid w:val="00B900B8"/>
    <w:rsid w:val="00C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4545"/>
  <w15:chartTrackingRefBased/>
  <w15:docId w15:val="{510BAB6E-595F-4479-8F49-9B324A4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2023-11-22T12:35:00Z</dcterms:created>
  <dcterms:modified xsi:type="dcterms:W3CDTF">2023-11-23T07:31:00Z</dcterms:modified>
</cp:coreProperties>
</file>