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39"/>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УКРАЇНА</w:t>
      </w:r>
    </w:p>
    <w:p w:rsidR="00000000" w:rsidDel="00000000" w:rsidP="00000000" w:rsidRDefault="00000000" w:rsidRPr="00000000" w14:paraId="00000002">
      <w:pPr>
        <w:tabs>
          <w:tab w:val="center" w:pos="4639"/>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Славутицький заклад загальної середньої освіти  І-ІІІ ступенів №3 Славутицької міської ради Вишгородського району Київської області</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пр-т Дружби Народів,1 м. Славутич, Вишгородський район, Київська область, 07101</w:t>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тел. 2-20-04, e-mail: shkolab3@gmail.com</w:t>
      </w: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Ідентифікаційний код № 25294155</w:t>
      </w:r>
    </w:p>
    <w:p w:rsidR="00000000" w:rsidDel="00000000" w:rsidP="00000000" w:rsidRDefault="00000000" w:rsidRPr="00000000" w14:paraId="00000007">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НАКАЗ</w:t>
      </w:r>
    </w:p>
    <w:p w:rsidR="00000000" w:rsidDel="00000000" w:rsidP="00000000" w:rsidRDefault="00000000" w:rsidRPr="00000000" w14:paraId="00000009">
      <w:pPr>
        <w:spacing w:after="0" w:line="360" w:lineRule="auto"/>
        <w:jc w:val="center"/>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A">
      <w:pPr>
        <w:spacing w:after="0" w:line="36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10.09.2021</w:t>
        <w:tab/>
        <w:tab/>
        <w:tab/>
        <w:tab/>
        <w:tab/>
        <w:tab/>
        <w:tab/>
        <w:tab/>
        <w:tab/>
        <w:tab/>
        <w:tab/>
        <w:t xml:space="preserve">    № 84</w:t>
      </w:r>
    </w:p>
    <w:p w:rsidR="00000000" w:rsidDel="00000000" w:rsidP="00000000" w:rsidRDefault="00000000" w:rsidRPr="00000000" w14:paraId="0000000B">
      <w:pPr>
        <w:spacing w:after="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Про затвердження порядку</w:t>
      </w:r>
    </w:p>
    <w:p w:rsidR="00000000" w:rsidDel="00000000" w:rsidP="00000000" w:rsidRDefault="00000000" w:rsidRPr="00000000" w14:paraId="0000000C">
      <w:pPr>
        <w:spacing w:after="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реагування на випадки булінгу </w:t>
      </w:r>
    </w:p>
    <w:p w:rsidR="00000000" w:rsidDel="00000000" w:rsidP="00000000" w:rsidRDefault="00000000" w:rsidRPr="00000000" w14:paraId="0000000D">
      <w:pPr>
        <w:spacing w:after="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(цькування) у закладі</w:t>
      </w:r>
    </w:p>
    <w:p w:rsidR="00000000" w:rsidDel="00000000" w:rsidP="00000000" w:rsidRDefault="00000000" w:rsidRPr="00000000" w14:paraId="0000000E">
      <w:pPr>
        <w:spacing w:after="0" w:lineRule="auto"/>
        <w:ind w:firstLine="720"/>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F">
      <w:pPr>
        <w:spacing w:after="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Відповідно до законів України «Про освіту», «Про повну загальну середню освіту», «Про внесення змін до деяких законодавчих актів України щодо протидії булінгу (цькуванню)», наказу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 зареєстрованого у Міністерстві юстиції України 03.02.2020 за № 111/34394, Порядку реагування на випадки булінгу (цькування) та Порядку застосування заходів виховного впливу, затверджених наказом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 зареєстрованим в Міністерстві юстиції України 03 лютого 2020 р. за № 111/34394, Плану заходів, спрямованих на запобігання та протидію булінгу (цькування) в закладах освіти, затвердженого наказом Міністерства освіти і науки України від 26.02.2020 № 293, листів Міністерства освіти і науки України від 11.02.2020 № 1/9-80 «Про затвердження наказу Міністерства освіти і науки України від 28 грудня 2019 року №1646 «Деякі питання реагування на випадки булінгу (цькування) та застосування заходів виховного впливу в закладах освіти» та від 13.04.2020 № 1/9-207 «Роз’яснення щодо застосування наказу Міністерства освіти і науки України від 28.12.2019 № 1646», інших нормативно-правових та інструктивних документів</w:t>
      </w:r>
    </w:p>
    <w:p w:rsidR="00000000" w:rsidDel="00000000" w:rsidP="00000000" w:rsidRDefault="00000000" w:rsidRPr="00000000" w14:paraId="0000001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59" w:lineRule="auto"/>
        <w:ind w:left="0" w:right="0" w:firstLine="0"/>
        <w:jc w:val="left"/>
        <w:rPr>
          <w:rFonts w:ascii="Times New Roman" w:cs="Times New Roman" w:eastAsia="Times New Roman" w:hAnsi="Times New Roman"/>
          <w:b w:val="1"/>
          <w:i w:val="0"/>
          <w:smallCaps w:val="0"/>
          <w:strike w:val="0"/>
          <w:color w:val="40404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04040"/>
          <w:sz w:val="27"/>
          <w:szCs w:val="27"/>
          <w:u w:val="none"/>
          <w:shd w:fill="auto" w:val="clear"/>
          <w:vertAlign w:val="baseline"/>
          <w:rtl w:val="0"/>
        </w:rPr>
        <w:t xml:space="preserve">НАКАЗУЮ:</w:t>
      </w:r>
    </w:p>
    <w:p w:rsidR="00000000" w:rsidDel="00000000" w:rsidP="00000000" w:rsidRDefault="00000000" w:rsidRPr="00000000" w14:paraId="00000011">
      <w:pPr>
        <w:spacing w:after="0" w:lineRule="auto"/>
        <w:ind w:firstLine="720"/>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Затвердити Порядок реагування на випадки булінгу (цькування) в закладі (додаток 1)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Соціальному педагогу Тетяні Щегольковій ознайомити педагогічний колектив закладу з Порядком реагування на випадки булінгу (цькування) у закладі на нараді при директору до 17.09.2021 р.</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Контроль за виконанням наказу залишаю за собою.</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17">
      <w:pPr>
        <w:spacing w:after="0" w:line="240" w:lineRule="auto"/>
        <w:ind w:firstLine="426"/>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40404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7"/>
          <w:szCs w:val="27"/>
          <w:u w:val="none"/>
          <w:shd w:fill="auto" w:val="clear"/>
          <w:vertAlign w:val="baseline"/>
          <w:rtl w:val="0"/>
        </w:rPr>
        <w:t xml:space="preserve">Директор     </w:t>
        <w:tab/>
        <w:tab/>
        <w:tab/>
        <w:tab/>
        <w:tab/>
        <w:tab/>
        <w:tab/>
        <w:t xml:space="preserve">Геннадій </w:t>
      </w:r>
      <w:r w:rsidDel="00000000" w:rsidR="00000000" w:rsidRPr="00000000">
        <w:rPr>
          <w:rFonts w:ascii="Times New Roman" w:cs="Times New Roman" w:eastAsia="Times New Roman" w:hAnsi="Times New Roman"/>
          <w:b w:val="0"/>
          <w:i w:val="0"/>
          <w:smallCaps w:val="1"/>
          <w:strike w:val="0"/>
          <w:color w:val="404040"/>
          <w:sz w:val="27"/>
          <w:szCs w:val="27"/>
          <w:u w:val="none"/>
          <w:shd w:fill="auto" w:val="clear"/>
          <w:vertAlign w:val="baseline"/>
          <w:rtl w:val="0"/>
        </w:rPr>
        <w:t xml:space="preserve">НАШИБА</w:t>
      </w:r>
      <w:r w:rsidDel="00000000" w:rsidR="00000000" w:rsidRPr="00000000">
        <w:rPr>
          <w:rtl w:val="0"/>
        </w:rPr>
      </w:r>
    </w:p>
    <w:p w:rsidR="00000000" w:rsidDel="00000000" w:rsidP="00000000" w:rsidRDefault="00000000" w:rsidRPr="00000000" w14:paraId="00000019">
      <w:pPr>
        <w:rPr>
          <w:sz w:val="27"/>
          <w:szCs w:val="27"/>
        </w:rPr>
      </w:pPr>
      <w:r w:rsidDel="00000000" w:rsidR="00000000" w:rsidRPr="00000000">
        <w:rPr>
          <w:rtl w:val="0"/>
        </w:rPr>
      </w:r>
    </w:p>
    <w:p w:rsidR="00000000" w:rsidDel="00000000" w:rsidP="00000000" w:rsidRDefault="00000000" w:rsidRPr="00000000" w14:paraId="0000001A">
      <w:pPr>
        <w:rPr>
          <w:sz w:val="27"/>
          <w:szCs w:val="27"/>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color w:val="c00000"/>
          <w:sz w:val="27"/>
          <w:szCs w:val="27"/>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color w:val="c00000"/>
          <w:sz w:val="27"/>
          <w:szCs w:val="27"/>
        </w:rPr>
      </w:pPr>
      <w:r w:rsidDel="00000000" w:rsidR="00000000" w:rsidRPr="00000000">
        <w:rPr>
          <w:rFonts w:ascii="Times New Roman" w:cs="Times New Roman" w:eastAsia="Times New Roman" w:hAnsi="Times New Roman"/>
          <w:color w:val="c00000"/>
          <w:sz w:val="27"/>
          <w:szCs w:val="27"/>
          <w:rtl w:val="0"/>
        </w:rPr>
        <w:t xml:space="preserve">Лист ознайомлення до наказу № 52 від 31.08.2021 року:</w:t>
      </w:r>
    </w:p>
    <w:tbl>
      <w:tblPr>
        <w:tblStyle w:val="Table1"/>
        <w:tblW w:w="7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2340"/>
        <w:gridCol w:w="2340"/>
        <w:tblGridChange w:id="0">
          <w:tblGrid>
            <w:gridCol w:w="2628"/>
            <w:gridCol w:w="2340"/>
            <w:gridCol w:w="2340"/>
          </w:tblGrid>
        </w:tblGridChange>
      </w:tblGrid>
      <w:tr>
        <w:trPr>
          <w:cantSplit w:val="0"/>
          <w:tblHeader w:val="0"/>
        </w:trPr>
        <w:tc>
          <w:tcPr>
            <w:shd w:fill="auto" w:val="clear"/>
          </w:tcPr>
          <w:p w:rsidR="00000000" w:rsidDel="00000000" w:rsidP="00000000" w:rsidRDefault="00000000" w:rsidRPr="00000000" w14:paraId="0000001D">
            <w:pPr>
              <w:spacing w:after="0" w:line="240"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Прізвище, ім’я</w:t>
            </w:r>
          </w:p>
        </w:tc>
        <w:tc>
          <w:tcPr>
            <w:shd w:fill="auto" w:val="clear"/>
          </w:tcPr>
          <w:p w:rsidR="00000000" w:rsidDel="00000000" w:rsidP="00000000" w:rsidRDefault="00000000" w:rsidRPr="00000000" w14:paraId="0000001E">
            <w:pPr>
              <w:spacing w:after="0" w:line="240"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Дата</w:t>
            </w:r>
          </w:p>
        </w:tc>
        <w:tc>
          <w:tcPr>
            <w:shd w:fill="auto" w:val="clear"/>
          </w:tcPr>
          <w:p w:rsidR="00000000" w:rsidDel="00000000" w:rsidP="00000000" w:rsidRDefault="00000000" w:rsidRPr="00000000" w14:paraId="0000001F">
            <w:pPr>
              <w:spacing w:after="0" w:line="240"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Підпис</w:t>
            </w:r>
          </w:p>
        </w:tc>
      </w:tr>
      <w:tr>
        <w:trPr>
          <w:cantSplit w:val="0"/>
          <w:tblHeader w:val="0"/>
        </w:trPr>
        <w:tc>
          <w:tcPr>
            <w:shd w:fill="auto" w:val="clear"/>
          </w:tcPr>
          <w:p w:rsidR="00000000" w:rsidDel="00000000" w:rsidP="00000000" w:rsidRDefault="00000000" w:rsidRPr="00000000" w14:paraId="00000020">
            <w:pPr>
              <w:spacing w:after="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Т. Щеголькова</w:t>
            </w:r>
          </w:p>
        </w:tc>
        <w:tc>
          <w:tcPr>
            <w:shd w:fill="auto" w:val="clear"/>
          </w:tcPr>
          <w:p w:rsidR="00000000" w:rsidDel="00000000" w:rsidP="00000000" w:rsidRDefault="00000000" w:rsidRPr="00000000" w14:paraId="00000021">
            <w:pPr>
              <w:spacing w:after="0" w:line="240" w:lineRule="auto"/>
              <w:rPr>
                <w:rFonts w:ascii="Times New Roman" w:cs="Times New Roman" w:eastAsia="Times New Roman" w:hAnsi="Times New Roman"/>
                <w:sz w:val="27"/>
                <w:szCs w:val="27"/>
              </w:rPr>
            </w:pPr>
            <w:r w:rsidDel="00000000" w:rsidR="00000000" w:rsidRPr="00000000">
              <w:rPr>
                <w:rtl w:val="0"/>
              </w:rPr>
            </w:r>
          </w:p>
        </w:tc>
        <w:tc>
          <w:tcPr>
            <w:shd w:fill="auto" w:val="clear"/>
          </w:tcPr>
          <w:p w:rsidR="00000000" w:rsidDel="00000000" w:rsidP="00000000" w:rsidRDefault="00000000" w:rsidRPr="00000000" w14:paraId="00000022">
            <w:pPr>
              <w:spacing w:after="0" w:line="240" w:lineRule="auto"/>
              <w:rPr>
                <w:rFonts w:ascii="Times New Roman" w:cs="Times New Roman" w:eastAsia="Times New Roman" w:hAnsi="Times New Roman"/>
                <w:sz w:val="27"/>
                <w:szCs w:val="27"/>
              </w:rPr>
            </w:pPr>
            <w:r w:rsidDel="00000000" w:rsidR="00000000" w:rsidRPr="00000000">
              <w:rPr>
                <w:rtl w:val="0"/>
              </w:rPr>
            </w:r>
          </w:p>
        </w:tc>
      </w:tr>
    </w:tbl>
    <w:p w:rsidR="00000000" w:rsidDel="00000000" w:rsidP="00000000" w:rsidRDefault="00000000" w:rsidRPr="00000000" w14:paraId="00000023">
      <w:pPr>
        <w:spacing w:after="0" w:lineRule="auto"/>
        <w:ind w:firstLine="720"/>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4">
      <w:pPr>
        <w:spacing w:after="0" w:lineRule="auto"/>
        <w:ind w:firstLine="720"/>
        <w:jc w:val="both"/>
        <w:rPr>
          <w:rFonts w:ascii="Times New Roman" w:cs="Times New Roman" w:eastAsia="Times New Roman" w:hAnsi="Times New Roman"/>
          <w:b w:val="1"/>
          <w:color w:val="2a2928"/>
          <w:sz w:val="27"/>
          <w:szCs w:val="27"/>
        </w:rPr>
      </w:pPr>
      <w:r w:rsidDel="00000000" w:rsidR="00000000" w:rsidRPr="00000000">
        <w:rPr>
          <w:rtl w:val="0"/>
        </w:rPr>
      </w:r>
    </w:p>
    <w:p w:rsidR="00000000" w:rsidDel="00000000" w:rsidP="00000000" w:rsidRDefault="00000000" w:rsidRPr="00000000" w14:paraId="00000025">
      <w:pPr>
        <w:shd w:fill="ffffff" w:val="clear"/>
        <w:spacing w:after="0" w:line="240" w:lineRule="auto"/>
        <w:ind w:firstLine="720"/>
        <w:jc w:val="center"/>
        <w:rPr>
          <w:rFonts w:ascii="Times New Roman" w:cs="Times New Roman" w:eastAsia="Times New Roman" w:hAnsi="Times New Roman"/>
          <w:b w:val="1"/>
          <w:color w:val="2a2928"/>
          <w:sz w:val="27"/>
          <w:szCs w:val="27"/>
        </w:rPr>
      </w:pPr>
      <w:r w:rsidDel="00000000" w:rsidR="00000000" w:rsidRPr="00000000">
        <w:rPr>
          <w:rFonts w:ascii="Times New Roman" w:cs="Times New Roman" w:eastAsia="Times New Roman" w:hAnsi="Times New Roman"/>
          <w:b w:val="1"/>
          <w:color w:val="2a2928"/>
          <w:sz w:val="27"/>
          <w:szCs w:val="27"/>
          <w:rtl w:val="0"/>
        </w:rPr>
        <w:t xml:space="preserve">                                                                                                                </w:t>
      </w:r>
    </w:p>
    <w:p w:rsidR="00000000" w:rsidDel="00000000" w:rsidP="00000000" w:rsidRDefault="00000000" w:rsidRPr="00000000" w14:paraId="00000026">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7">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8">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9">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A">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B">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C">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D">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E">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F">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0">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1">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2">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3">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4">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5">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6">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7">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8">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9">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A">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B">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C">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D">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E">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F">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Додаток 1</w:t>
      </w:r>
    </w:p>
    <w:p w:rsidR="00000000" w:rsidDel="00000000" w:rsidP="00000000" w:rsidRDefault="00000000" w:rsidRPr="00000000" w14:paraId="00000040">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до наказу № 84</w:t>
      </w:r>
    </w:p>
    <w:p w:rsidR="00000000" w:rsidDel="00000000" w:rsidP="00000000" w:rsidRDefault="00000000" w:rsidRPr="00000000" w14:paraId="00000041">
      <w:pPr>
        <w:spacing w:after="0" w:line="240" w:lineRule="auto"/>
        <w:ind w:left="6691" w:firstLine="708.9999999999998"/>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від 10.09.2021 р.</w:t>
      </w:r>
    </w:p>
    <w:p w:rsidR="00000000" w:rsidDel="00000000" w:rsidP="00000000" w:rsidRDefault="00000000" w:rsidRPr="00000000" w14:paraId="00000042">
      <w:pPr>
        <w:shd w:fill="ffffff" w:val="clear"/>
        <w:spacing w:after="0" w:line="240" w:lineRule="auto"/>
        <w:ind w:firstLine="720"/>
        <w:jc w:val="center"/>
        <w:rPr>
          <w:rFonts w:ascii="Times New Roman" w:cs="Times New Roman" w:eastAsia="Times New Roman" w:hAnsi="Times New Roman"/>
          <w:b w:val="1"/>
          <w:color w:val="2a2928"/>
          <w:sz w:val="27"/>
          <w:szCs w:val="27"/>
        </w:rPr>
      </w:pPr>
      <w:r w:rsidDel="00000000" w:rsidR="00000000" w:rsidRPr="00000000">
        <w:rPr>
          <w:rtl w:val="0"/>
        </w:rPr>
      </w:r>
    </w:p>
    <w:tbl>
      <w:tblPr>
        <w:tblStyle w:val="Table2"/>
        <w:tblW w:w="9595.0" w:type="dxa"/>
        <w:jc w:val="left"/>
        <w:tblInd w:w="0.0" w:type="dxa"/>
        <w:tblBorders>
          <w:insideH w:color="000000" w:space="0" w:sz="4" w:val="single"/>
        </w:tblBorders>
        <w:tblLayout w:type="fixed"/>
        <w:tblLook w:val="0400"/>
      </w:tblPr>
      <w:tblGrid>
        <w:gridCol w:w="5353"/>
        <w:gridCol w:w="4242"/>
        <w:tblGridChange w:id="0">
          <w:tblGrid>
            <w:gridCol w:w="5353"/>
            <w:gridCol w:w="4242"/>
          </w:tblGrid>
        </w:tblGridChange>
      </w:tblGrid>
      <w:tr>
        <w:trPr>
          <w:cantSplit w:val="0"/>
          <w:trHeight w:val="657" w:hRule="atLeast"/>
          <w:tblHeader w:val="0"/>
        </w:trPr>
        <w:tc>
          <w:tcPr/>
          <w:p w:rsidR="00000000" w:rsidDel="00000000" w:rsidP="00000000" w:rsidRDefault="00000000" w:rsidRPr="00000000" w14:paraId="00000043">
            <w:pPr>
              <w:spacing w:after="0" w:line="240" w:lineRule="auto"/>
              <w:rPr>
                <w:rFonts w:ascii="Times New Roman" w:cs="Times New Roman" w:eastAsia="Times New Roman" w:hAnsi="Times New Roman"/>
                <w:b w:val="1"/>
                <w:sz w:val="27"/>
                <w:szCs w:val="27"/>
              </w:rPr>
            </w:pPr>
            <w:r w:rsidDel="00000000" w:rsidR="00000000" w:rsidRPr="00000000">
              <w:rPr>
                <w:rtl w:val="0"/>
              </w:rPr>
            </w:r>
          </w:p>
        </w:tc>
        <w:tc>
          <w:tcPr/>
          <w:p w:rsidR="00000000" w:rsidDel="00000000" w:rsidP="00000000" w:rsidRDefault="00000000" w:rsidRPr="00000000" w14:paraId="00000044">
            <w:pPr>
              <w:spacing w:after="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ЗАТВЕРДЖЕНО</w:t>
            </w:r>
          </w:p>
          <w:p w:rsidR="00000000" w:rsidDel="00000000" w:rsidP="00000000" w:rsidRDefault="00000000" w:rsidRPr="00000000" w14:paraId="00000045">
            <w:pPr>
              <w:spacing w:after="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Наказ від 10.09.2021 №84</w:t>
            </w:r>
          </w:p>
          <w:p w:rsidR="00000000" w:rsidDel="00000000" w:rsidP="00000000" w:rsidRDefault="00000000" w:rsidRPr="00000000" w14:paraId="00000046">
            <w:pPr>
              <w:spacing w:after="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Директор </w:t>
            </w:r>
          </w:p>
          <w:p w:rsidR="00000000" w:rsidDel="00000000" w:rsidP="00000000" w:rsidRDefault="00000000" w:rsidRPr="00000000" w14:paraId="00000047">
            <w:pPr>
              <w:spacing w:after="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____________Геннадій </w:t>
            </w:r>
            <w:r w:rsidDel="00000000" w:rsidR="00000000" w:rsidRPr="00000000">
              <w:rPr>
                <w:rFonts w:ascii="Times New Roman" w:cs="Times New Roman" w:eastAsia="Times New Roman" w:hAnsi="Times New Roman"/>
                <w:smallCaps w:val="1"/>
                <w:sz w:val="27"/>
                <w:szCs w:val="27"/>
                <w:rtl w:val="0"/>
              </w:rPr>
              <w:t xml:space="preserve">НАШИБА</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b w:val="1"/>
                <w:sz w:val="27"/>
                <w:szCs w:val="27"/>
              </w:rPr>
            </w:pPr>
            <w:r w:rsidDel="00000000" w:rsidR="00000000" w:rsidRPr="00000000">
              <w:rPr>
                <w:rtl w:val="0"/>
              </w:rPr>
            </w:r>
          </w:p>
        </w:tc>
      </w:tr>
    </w:tbl>
    <w:p w:rsidR="00000000" w:rsidDel="00000000" w:rsidP="00000000" w:rsidRDefault="00000000" w:rsidRPr="00000000" w14:paraId="00000049">
      <w:pPr>
        <w:shd w:fill="ffffff" w:val="clear"/>
        <w:spacing w:after="0" w:line="240" w:lineRule="auto"/>
        <w:ind w:firstLine="720"/>
        <w:jc w:val="center"/>
        <w:rPr>
          <w:rFonts w:ascii="Times New Roman" w:cs="Times New Roman" w:eastAsia="Times New Roman" w:hAnsi="Times New Roman"/>
          <w:b w:val="1"/>
          <w:color w:val="2a2928"/>
          <w:sz w:val="27"/>
          <w:szCs w:val="27"/>
        </w:rPr>
      </w:pPr>
      <w:r w:rsidDel="00000000" w:rsidR="00000000" w:rsidRPr="00000000">
        <w:rPr>
          <w:rtl w:val="0"/>
        </w:rPr>
      </w:r>
    </w:p>
    <w:p w:rsidR="00000000" w:rsidDel="00000000" w:rsidP="00000000" w:rsidRDefault="00000000" w:rsidRPr="00000000" w14:paraId="0000004A">
      <w:pPr>
        <w:shd w:fill="ffffff" w:val="clear"/>
        <w:spacing w:after="0" w:line="240" w:lineRule="auto"/>
        <w:ind w:firstLine="720"/>
        <w:jc w:val="center"/>
        <w:rPr>
          <w:rFonts w:ascii="Times New Roman" w:cs="Times New Roman" w:eastAsia="Times New Roman" w:hAnsi="Times New Roman"/>
          <w:b w:val="1"/>
          <w:color w:val="2a2928"/>
          <w:sz w:val="27"/>
          <w:szCs w:val="27"/>
        </w:rPr>
      </w:pPr>
      <w:r w:rsidDel="00000000" w:rsidR="00000000" w:rsidRPr="00000000">
        <w:rPr>
          <w:rFonts w:ascii="Times New Roman" w:cs="Times New Roman" w:eastAsia="Times New Roman" w:hAnsi="Times New Roman"/>
          <w:b w:val="1"/>
          <w:color w:val="2a2928"/>
          <w:sz w:val="27"/>
          <w:szCs w:val="27"/>
          <w:rtl w:val="0"/>
        </w:rPr>
        <w:t xml:space="preserve">ПОРЯДОК</w:t>
        <w:br w:type="textWrapping"/>
        <w:t xml:space="preserve">реагування на випадки булінгу (цькування) в Славутицькому ЗЗСО №3</w:t>
      </w:r>
    </w:p>
    <w:p w:rsidR="00000000" w:rsidDel="00000000" w:rsidP="00000000" w:rsidRDefault="00000000" w:rsidRPr="00000000" w14:paraId="0000004B">
      <w:pPr>
        <w:shd w:fill="ffffff" w:val="clear"/>
        <w:spacing w:after="0" w:line="240" w:lineRule="auto"/>
        <w:ind w:firstLine="720"/>
        <w:jc w:val="center"/>
        <w:rPr>
          <w:rFonts w:ascii="Times New Roman" w:cs="Times New Roman" w:eastAsia="Times New Roman" w:hAnsi="Times New Roman"/>
          <w:b w:val="1"/>
          <w:color w:val="2a2928"/>
          <w:sz w:val="27"/>
          <w:szCs w:val="27"/>
        </w:rPr>
      </w:pPr>
      <w:r w:rsidDel="00000000" w:rsidR="00000000" w:rsidRPr="00000000">
        <w:rPr>
          <w:rtl w:val="0"/>
        </w:rPr>
      </w:r>
    </w:p>
    <w:p w:rsidR="00000000" w:rsidDel="00000000" w:rsidP="00000000" w:rsidRDefault="00000000" w:rsidRPr="00000000" w14:paraId="0000004C">
      <w:pPr>
        <w:shd w:fill="ffffff" w:val="clear"/>
        <w:spacing w:after="0" w:line="240" w:lineRule="auto"/>
        <w:ind w:firstLine="720"/>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I. Загальні положення</w:t>
      </w:r>
    </w:p>
    <w:p w:rsidR="00000000" w:rsidDel="00000000" w:rsidP="00000000" w:rsidRDefault="00000000" w:rsidRPr="00000000" w14:paraId="0000004D">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Цей Порядок визначає механізм реагування на випадки булінгу (цькування) в Славутицькому ЗЗСО №3. </w:t>
      </w:r>
    </w:p>
    <w:p w:rsidR="00000000" w:rsidDel="00000000" w:rsidP="00000000" w:rsidRDefault="00000000" w:rsidRPr="00000000" w14:paraId="0000004E">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Терміни, використані у цьому Порядку, вживаються у таких значеннях:</w:t>
      </w:r>
    </w:p>
    <w:p w:rsidR="00000000" w:rsidDel="00000000" w:rsidP="00000000" w:rsidRDefault="00000000" w:rsidRPr="00000000" w14:paraId="0000004F">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000000" w:rsidDel="00000000" w:rsidP="00000000" w:rsidRDefault="00000000" w:rsidRPr="00000000" w14:paraId="00000050">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потерпілий (жертва булінгу) - учасник освітнього процесу, в тому числі малолітня чи неповнолітня особа, щодо якої було вчинено булінг (цькування);</w:t>
      </w:r>
    </w:p>
    <w:p w:rsidR="00000000" w:rsidDel="00000000" w:rsidP="00000000" w:rsidRDefault="00000000" w:rsidRPr="00000000" w14:paraId="00000051">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спостерігачі - свідки та (або) безпосередні очевидці випадку булінгу (цькування);</w:t>
      </w:r>
    </w:p>
    <w:p w:rsidR="00000000" w:rsidDel="00000000" w:rsidP="00000000" w:rsidRDefault="00000000" w:rsidRPr="00000000" w14:paraId="00000052">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сторони булінгу (цькування) - безпосередні учасники випадку: кривдник (булер), потерпілий (жертва булінгу), спостерігачі (за наявності).</w:t>
      </w:r>
    </w:p>
    <w:p w:rsidR="00000000" w:rsidDel="00000000" w:rsidP="00000000" w:rsidRDefault="00000000" w:rsidRPr="00000000" w14:paraId="00000053">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Інші терміни вживаються у значеннях, наведених у </w:t>
      </w:r>
      <w:hyperlink r:id="rId6">
        <w:r w:rsidDel="00000000" w:rsidR="00000000" w:rsidRPr="00000000">
          <w:rPr>
            <w:rFonts w:ascii="Times New Roman" w:cs="Times New Roman" w:eastAsia="Times New Roman" w:hAnsi="Times New Roman"/>
            <w:sz w:val="27"/>
            <w:szCs w:val="27"/>
            <w:u w:val="single"/>
            <w:rtl w:val="0"/>
          </w:rPr>
          <w:t xml:space="preserve">Законах України "Про освіту"</w:t>
        </w:r>
      </w:hyperlink>
      <w:r w:rsidDel="00000000" w:rsidR="00000000" w:rsidRPr="00000000">
        <w:rPr>
          <w:rFonts w:ascii="Times New Roman" w:cs="Times New Roman" w:eastAsia="Times New Roman" w:hAnsi="Times New Roman"/>
          <w:sz w:val="27"/>
          <w:szCs w:val="27"/>
          <w:rtl w:val="0"/>
        </w:rPr>
        <w:t xml:space="preserve">, </w:t>
      </w:r>
      <w:hyperlink r:id="rId7">
        <w:r w:rsidDel="00000000" w:rsidR="00000000" w:rsidRPr="00000000">
          <w:rPr>
            <w:rFonts w:ascii="Times New Roman" w:cs="Times New Roman" w:eastAsia="Times New Roman" w:hAnsi="Times New Roman"/>
            <w:sz w:val="27"/>
            <w:szCs w:val="27"/>
            <w:u w:val="single"/>
            <w:rtl w:val="0"/>
          </w:rPr>
          <w:t xml:space="preserve">"Про соціальні послуги"</w:t>
        </w:r>
      </w:hyperlink>
      <w:r w:rsidDel="00000000" w:rsidR="00000000" w:rsidRPr="00000000">
        <w:rPr>
          <w:rFonts w:ascii="Times New Roman" w:cs="Times New Roman" w:eastAsia="Times New Roman" w:hAnsi="Times New Roman"/>
          <w:sz w:val="27"/>
          <w:szCs w:val="27"/>
          <w:rtl w:val="0"/>
        </w:rPr>
        <w:t xml:space="preserve">, </w:t>
      </w:r>
      <w:hyperlink r:id="rId8">
        <w:r w:rsidDel="00000000" w:rsidR="00000000" w:rsidRPr="00000000">
          <w:rPr>
            <w:rFonts w:ascii="Times New Roman" w:cs="Times New Roman" w:eastAsia="Times New Roman" w:hAnsi="Times New Roman"/>
            <w:sz w:val="27"/>
            <w:szCs w:val="27"/>
            <w:u w:val="single"/>
            <w:rtl w:val="0"/>
          </w:rPr>
          <w:t xml:space="preserve">"Про соціальну роботу з сім'ями, дітьми та молоддю"</w:t>
        </w:r>
      </w:hyperlink>
      <w:r w:rsidDel="00000000" w:rsidR="00000000" w:rsidRPr="00000000">
        <w:rPr>
          <w:rFonts w:ascii="Times New Roman" w:cs="Times New Roman" w:eastAsia="Times New Roman" w:hAnsi="Times New Roman"/>
          <w:sz w:val="27"/>
          <w:szCs w:val="27"/>
          <w:rtl w:val="0"/>
        </w:rPr>
        <w:t xml:space="preserve">, </w:t>
      </w:r>
      <w:hyperlink r:id="rId9">
        <w:r w:rsidDel="00000000" w:rsidR="00000000" w:rsidRPr="00000000">
          <w:rPr>
            <w:rFonts w:ascii="Times New Roman" w:cs="Times New Roman" w:eastAsia="Times New Roman" w:hAnsi="Times New Roman"/>
            <w:sz w:val="27"/>
            <w:szCs w:val="27"/>
            <w:u w:val="single"/>
            <w:rtl w:val="0"/>
          </w:rPr>
          <w:t xml:space="preserve">"Про забезпечення рівних прав та можливостей жінок і чоловіків"</w:t>
        </w:r>
      </w:hyperlink>
      <w:r w:rsidDel="00000000" w:rsidR="00000000" w:rsidRPr="00000000">
        <w:rPr>
          <w:rFonts w:ascii="Times New Roman" w:cs="Times New Roman" w:eastAsia="Times New Roman" w:hAnsi="Times New Roman"/>
          <w:sz w:val="27"/>
          <w:szCs w:val="27"/>
          <w:rtl w:val="0"/>
        </w:rPr>
        <w:t xml:space="preserve">, </w:t>
      </w:r>
      <w:hyperlink r:id="rId10">
        <w:r w:rsidDel="00000000" w:rsidR="00000000" w:rsidRPr="00000000">
          <w:rPr>
            <w:rFonts w:ascii="Times New Roman" w:cs="Times New Roman" w:eastAsia="Times New Roman" w:hAnsi="Times New Roman"/>
            <w:sz w:val="27"/>
            <w:szCs w:val="27"/>
            <w:u w:val="single"/>
            <w:rtl w:val="0"/>
          </w:rPr>
          <w:t xml:space="preserve">"Про засади запобігання та протидії дискримінації в Україні"</w:t>
        </w:r>
      </w:hyperlink>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54">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3. Проявами, які можуть бути підставами для підозри в наявності випадку булінгу (цькування) учасника освітнього процесу в закладі освіти, є:</w:t>
      </w:r>
    </w:p>
    <w:p w:rsidR="00000000" w:rsidDel="00000000" w:rsidP="00000000" w:rsidRDefault="00000000" w:rsidRPr="00000000" w14:paraId="00000055">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замкнутість, тривожність, страх або, навпаки, демонстрація повної відсутності страху, ризикована, зухвала поведінка;</w:t>
      </w:r>
    </w:p>
    <w:p w:rsidR="00000000" w:rsidDel="00000000" w:rsidP="00000000" w:rsidRDefault="00000000" w:rsidRPr="00000000" w14:paraId="00000056">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неврівноважена поведінка;</w:t>
      </w:r>
    </w:p>
    <w:p w:rsidR="00000000" w:rsidDel="00000000" w:rsidP="00000000" w:rsidRDefault="00000000" w:rsidRPr="00000000" w14:paraId="00000057">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агресивність, напади люті, схильність до руйнації, нищення, насильства;</w:t>
      </w:r>
    </w:p>
    <w:p w:rsidR="00000000" w:rsidDel="00000000" w:rsidP="00000000" w:rsidRDefault="00000000" w:rsidRPr="00000000" w14:paraId="00000058">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різка зміна звичної для дитини поведінки;</w:t>
      </w:r>
    </w:p>
    <w:p w:rsidR="00000000" w:rsidDel="00000000" w:rsidP="00000000" w:rsidRDefault="00000000" w:rsidRPr="00000000" w14:paraId="00000059">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уповільнене мислення, знижена здатність до навчання;</w:t>
      </w:r>
    </w:p>
    <w:p w:rsidR="00000000" w:rsidDel="00000000" w:rsidP="00000000" w:rsidRDefault="00000000" w:rsidRPr="00000000" w14:paraId="0000005A">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відлюдкуватість, уникнення спілкування;</w:t>
      </w:r>
    </w:p>
    <w:p w:rsidR="00000000" w:rsidDel="00000000" w:rsidP="00000000" w:rsidRDefault="00000000" w:rsidRPr="00000000" w14:paraId="0000005B">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ізоляція, виключення з групи, небажання інших учасників освітнього процесу спілкуватися;</w:t>
      </w:r>
    </w:p>
    <w:p w:rsidR="00000000" w:rsidDel="00000000" w:rsidP="00000000" w:rsidRDefault="00000000" w:rsidRPr="00000000" w14:paraId="0000005C">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занижена самооцінка, наявність почуття провини;</w:t>
      </w:r>
    </w:p>
    <w:p w:rsidR="00000000" w:rsidDel="00000000" w:rsidP="00000000" w:rsidRDefault="00000000" w:rsidRPr="00000000" w14:paraId="0000005D">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поява швидкої втомлюваності, зниженої спроможності до концентрації уваги;</w:t>
      </w:r>
    </w:p>
    <w:p w:rsidR="00000000" w:rsidDel="00000000" w:rsidP="00000000" w:rsidRDefault="00000000" w:rsidRPr="00000000" w14:paraId="0000005E">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демонстрація страху перед появою інших учасників освітнього процесу;</w:t>
      </w:r>
    </w:p>
    <w:p w:rsidR="00000000" w:rsidDel="00000000" w:rsidP="00000000" w:rsidRDefault="00000000" w:rsidRPr="00000000" w14:paraId="0000005F">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схильність до пропуску навчальних занять;</w:t>
      </w:r>
    </w:p>
    <w:p w:rsidR="00000000" w:rsidDel="00000000" w:rsidP="00000000" w:rsidRDefault="00000000" w:rsidRPr="00000000" w14:paraId="00000060">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відмова відвідувати заклад освіти з посиланням на погане самопочуття;</w:t>
      </w:r>
    </w:p>
    <w:p w:rsidR="00000000" w:rsidDel="00000000" w:rsidP="00000000" w:rsidRDefault="00000000" w:rsidRPr="00000000" w14:paraId="00000061">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депресивні стани;</w:t>
      </w:r>
    </w:p>
    <w:p w:rsidR="00000000" w:rsidDel="00000000" w:rsidP="00000000" w:rsidRDefault="00000000" w:rsidRPr="00000000" w14:paraId="00000062">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аутоагресія (самоушкодження);</w:t>
      </w:r>
    </w:p>
    <w:p w:rsidR="00000000" w:rsidDel="00000000" w:rsidP="00000000" w:rsidRDefault="00000000" w:rsidRPr="00000000" w14:paraId="00000063">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суїцидальні прояви;</w:t>
      </w:r>
    </w:p>
    <w:p w:rsidR="00000000" w:rsidDel="00000000" w:rsidP="00000000" w:rsidRDefault="00000000" w:rsidRPr="00000000" w14:paraId="00000064">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явні фізичні ушкодження та (або) ознаки поганого самопочуття (нудота, головний біль, кволість тощо);</w:t>
      </w:r>
    </w:p>
    <w:p w:rsidR="00000000" w:rsidDel="00000000" w:rsidP="00000000" w:rsidRDefault="00000000" w:rsidRPr="00000000" w14:paraId="00000065">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намагання приховати травми та обставини їх отримання;</w:t>
      </w:r>
    </w:p>
    <w:p w:rsidR="00000000" w:rsidDel="00000000" w:rsidP="00000000" w:rsidRDefault="00000000" w:rsidRPr="00000000" w14:paraId="00000066">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000000" w:rsidDel="00000000" w:rsidP="00000000" w:rsidRDefault="00000000" w:rsidRPr="00000000" w14:paraId="00000067">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наявність фото-, відео- та аудіоматеріалів фізичних або психологічних знущань, сексуального (інтимного) змісту;</w:t>
      </w:r>
    </w:p>
    <w:p w:rsidR="00000000" w:rsidDel="00000000" w:rsidP="00000000" w:rsidRDefault="00000000" w:rsidRPr="00000000" w14:paraId="00000068">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наявні пошкодження або зникнення майна та (або) особистих речей.</w:t>
      </w:r>
    </w:p>
    <w:p w:rsidR="00000000" w:rsidDel="00000000" w:rsidP="00000000" w:rsidRDefault="00000000" w:rsidRPr="00000000" w14:paraId="00000069">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4. До булінгу (цькування) в закладі належать випадки, які відбуваються безпосередньо в приміщенні закладу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000000" w:rsidDel="00000000" w:rsidP="00000000" w:rsidRDefault="00000000" w:rsidRPr="00000000" w14:paraId="0000006A">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000000" w:rsidDel="00000000" w:rsidP="00000000" w:rsidRDefault="00000000" w:rsidRPr="00000000" w14:paraId="0000006B">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000000" w:rsidDel="00000000" w:rsidP="00000000" w:rsidRDefault="00000000" w:rsidRPr="00000000" w14:paraId="0000006C">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000000" w:rsidDel="00000000" w:rsidP="00000000" w:rsidRDefault="00000000" w:rsidRPr="00000000" w14:paraId="0000006D">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000000" w:rsidDel="00000000" w:rsidP="00000000" w:rsidRDefault="00000000" w:rsidRPr="00000000" w14:paraId="0000006E">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будь-яка форма небажаної фізичної поведінки, зокрема ляпаси, стусани, штовхання, щипання, шмагання, кусання, завдання ударів;</w:t>
      </w:r>
    </w:p>
    <w:p w:rsidR="00000000" w:rsidDel="00000000" w:rsidP="00000000" w:rsidRDefault="00000000" w:rsidRPr="00000000" w14:paraId="0000006F">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інші правопорушення насильницького характеру.</w:t>
      </w:r>
    </w:p>
    <w:p w:rsidR="00000000" w:rsidDel="00000000" w:rsidP="00000000" w:rsidRDefault="00000000" w:rsidRPr="00000000" w14:paraId="00000070">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5. Суб'єктами реагування у разі настання випадку булінгу (цькування) в закладі (далі - суб'єкти реагування) є:</w:t>
      </w:r>
    </w:p>
    <w:p w:rsidR="00000000" w:rsidDel="00000000" w:rsidP="00000000" w:rsidRDefault="00000000" w:rsidRPr="00000000" w14:paraId="00000071">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Служба у справах дітей;</w:t>
      </w:r>
    </w:p>
    <w:p w:rsidR="00000000" w:rsidDel="00000000" w:rsidP="00000000" w:rsidRDefault="00000000" w:rsidRPr="00000000" w14:paraId="00000072">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Центр соціальних служб для сім'ї, дітей та молоді;</w:t>
      </w:r>
    </w:p>
    <w:p w:rsidR="00000000" w:rsidDel="00000000" w:rsidP="00000000" w:rsidRDefault="00000000" w:rsidRPr="00000000" w14:paraId="00000073">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територіальні органи (підрозділи) Національної поліції України.</w:t>
      </w:r>
    </w:p>
    <w:p w:rsidR="00000000" w:rsidDel="00000000" w:rsidP="00000000" w:rsidRDefault="00000000" w:rsidRPr="00000000" w14:paraId="00000074">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Суб'єкти реагування на випадки булінгу (цькування) в закладі діють в межах повноважень, передбачених законодавством та цим Порядком.</w:t>
      </w:r>
    </w:p>
    <w:p w:rsidR="00000000" w:rsidDel="00000000" w:rsidP="00000000" w:rsidRDefault="00000000" w:rsidRPr="00000000" w14:paraId="00000075">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6. Суб'єкти реагування здійснюють заходи, спрямовані на запобігання та протидію булінгу (цькуванню) в закладі згідно з Планом заходів, спрямованих на запобігання та протидію булінгу (цькуванню) в закладі, затвердженим директором.</w:t>
      </w:r>
    </w:p>
    <w:p w:rsidR="00000000" w:rsidDel="00000000" w:rsidP="00000000" w:rsidRDefault="00000000" w:rsidRPr="00000000" w14:paraId="00000076">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7. Педагогічні та інші працівники закладу  у разі, якщо вони виявляють булінг (цькування), зобов'язані:</w:t>
      </w:r>
    </w:p>
    <w:p w:rsidR="00000000" w:rsidDel="00000000" w:rsidP="00000000" w:rsidRDefault="00000000" w:rsidRPr="00000000" w14:paraId="00000077">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вжити невідкладних заходів для припинення небезпечного впливу;</w:t>
      </w:r>
    </w:p>
    <w:p w:rsidR="00000000" w:rsidDel="00000000" w:rsidP="00000000" w:rsidRDefault="00000000" w:rsidRPr="00000000" w14:paraId="00000078">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 потреби надати домедичну допомогу та викликати бригаду екстреної (швидкої) медичної допомоги для надання екстреної медичної допомоги;</w:t>
      </w:r>
    </w:p>
    <w:p w:rsidR="00000000" w:rsidDel="00000000" w:rsidP="00000000" w:rsidRDefault="00000000" w:rsidRPr="00000000" w14:paraId="00000079">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звернутись (за потреби) до територіальних органів (підрозділів) Національної поліції України;</w:t>
      </w:r>
    </w:p>
    <w:p w:rsidR="00000000" w:rsidDel="00000000" w:rsidP="00000000" w:rsidRDefault="00000000" w:rsidRPr="00000000" w14:paraId="0000007A">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000000" w:rsidDel="00000000" w:rsidP="00000000" w:rsidRDefault="00000000" w:rsidRPr="00000000" w14:paraId="0000007B">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II. Подання заяв або повідомлень про випадки булінгу (цькування) в закладі</w:t>
      </w:r>
      <w:r w:rsidDel="00000000" w:rsidR="00000000" w:rsidRPr="00000000">
        <w:rPr>
          <w:rFonts w:ascii="Times New Roman" w:cs="Times New Roman" w:eastAsia="Times New Roman" w:hAnsi="Times New Roman"/>
          <w:sz w:val="27"/>
          <w:szCs w:val="27"/>
          <w:rtl w:val="0"/>
        </w:rPr>
        <w:t xml:space="preserve"> освіти</w:t>
      </w:r>
    </w:p>
    <w:p w:rsidR="00000000" w:rsidDel="00000000" w:rsidP="00000000" w:rsidRDefault="00000000" w:rsidRPr="00000000" w14:paraId="0000007C">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закладі.</w:t>
      </w:r>
    </w:p>
    <w:p w:rsidR="00000000" w:rsidDel="00000000" w:rsidP="00000000" w:rsidRDefault="00000000" w:rsidRPr="00000000" w14:paraId="0000007D">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закладі  заяви або повідомлення про випадок булінгу (цькування) або підозру щодо його вчинення приймає директор.</w:t>
      </w:r>
    </w:p>
    <w:p w:rsidR="00000000" w:rsidDel="00000000" w:rsidP="00000000" w:rsidRDefault="00000000" w:rsidRPr="00000000" w14:paraId="0000007E">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Повідомлення можуть бути в усній та (або) письмовій формі, в тому числі із застосуванням засобів електронної комунікації.</w:t>
      </w:r>
    </w:p>
    <w:p w:rsidR="00000000" w:rsidDel="00000000" w:rsidP="00000000" w:rsidRDefault="00000000" w:rsidRPr="00000000" w14:paraId="0000007F">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Директор у разі отримання заяви або повідомлення про випадок булінгу (цькування):</w:t>
      </w:r>
    </w:p>
    <w:p w:rsidR="00000000" w:rsidDel="00000000" w:rsidP="00000000" w:rsidRDefault="00000000" w:rsidRPr="00000000" w14:paraId="00000080">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000000" w:rsidDel="00000000" w:rsidP="00000000" w:rsidRDefault="00000000" w:rsidRPr="00000000" w14:paraId="00000081">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 потреби викликає бригаду екстреної (швидкої) медичної допомоги для надання екстреної медичної допомоги;</w:t>
      </w:r>
    </w:p>
    <w:p w:rsidR="00000000" w:rsidDel="00000000" w:rsidP="00000000" w:rsidRDefault="00000000" w:rsidRPr="00000000" w14:paraId="00000082">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000000" w:rsidDel="00000000" w:rsidP="00000000" w:rsidRDefault="00000000" w:rsidRPr="00000000" w14:paraId="00000083">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000000" w:rsidDel="00000000" w:rsidP="00000000" w:rsidRDefault="00000000" w:rsidRPr="00000000" w14:paraId="00000084">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000000" w:rsidDel="00000000" w:rsidP="00000000" w:rsidRDefault="00000000" w:rsidRPr="00000000" w14:paraId="00000085">
      <w:pPr>
        <w:shd w:fill="ffffff" w:val="clear"/>
        <w:spacing w:after="0" w:line="240" w:lineRule="auto"/>
        <w:ind w:firstLine="720"/>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III. Склад комісії, права та обов'язки її членів</w:t>
      </w:r>
    </w:p>
    <w:p w:rsidR="00000000" w:rsidDel="00000000" w:rsidP="00000000" w:rsidRDefault="00000000" w:rsidRPr="00000000" w14:paraId="00000086">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Склад комісії затверджує наказом директора.</w:t>
      </w:r>
    </w:p>
    <w:p w:rsidR="00000000" w:rsidDel="00000000" w:rsidP="00000000" w:rsidRDefault="00000000" w:rsidRPr="00000000" w14:paraId="00000087">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Комісія виконує свої обов'язки на постійній основі.</w:t>
      </w:r>
    </w:p>
    <w:p w:rsidR="00000000" w:rsidDel="00000000" w:rsidP="00000000" w:rsidRDefault="00000000" w:rsidRPr="00000000" w14:paraId="00000088">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Склад комісії формується з урахуванням основних завдань комісії.</w:t>
      </w:r>
    </w:p>
    <w:p w:rsidR="00000000" w:rsidDel="00000000" w:rsidP="00000000" w:rsidRDefault="00000000" w:rsidRPr="00000000" w14:paraId="00000089">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Комісія складається з голови, заступника голови, секретаря та не менше ніж п'яти її членів.</w:t>
      </w:r>
    </w:p>
    <w:p w:rsidR="00000000" w:rsidDel="00000000" w:rsidP="00000000" w:rsidRDefault="00000000" w:rsidRPr="00000000" w14:paraId="0000008A">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До складу комісії входять педагогічні  працівники, у тому числі практичний психолог та соціальний педагог (за наявності) закладу освіти.</w:t>
      </w:r>
    </w:p>
    <w:p w:rsidR="00000000" w:rsidDel="00000000" w:rsidP="00000000" w:rsidRDefault="00000000" w:rsidRPr="00000000" w14:paraId="0000008B">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закладі.</w:t>
      </w:r>
    </w:p>
    <w:p w:rsidR="00000000" w:rsidDel="00000000" w:rsidP="00000000" w:rsidRDefault="00000000" w:rsidRPr="00000000" w14:paraId="0000008C">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3. Головою комісії є керівник закладу.</w:t>
      </w:r>
    </w:p>
    <w:p w:rsidR="00000000" w:rsidDel="00000000" w:rsidP="00000000" w:rsidRDefault="00000000" w:rsidRPr="00000000" w14:paraId="0000008D">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000000" w:rsidDel="00000000" w:rsidP="00000000" w:rsidRDefault="00000000" w:rsidRPr="00000000" w14:paraId="0000008E">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000000" w:rsidDel="00000000" w:rsidP="00000000" w:rsidRDefault="00000000" w:rsidRPr="00000000" w14:paraId="0000008F">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000000" w:rsidDel="00000000" w:rsidP="00000000" w:rsidRDefault="00000000" w:rsidRPr="00000000" w14:paraId="00000090">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000000" w:rsidDel="00000000" w:rsidP="00000000" w:rsidRDefault="00000000" w:rsidRPr="00000000" w14:paraId="00000091">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000000" w:rsidDel="00000000" w:rsidP="00000000" w:rsidRDefault="00000000" w:rsidRPr="00000000" w14:paraId="00000092">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5. Член комісії має право:</w:t>
      </w:r>
    </w:p>
    <w:p w:rsidR="00000000" w:rsidDel="00000000" w:rsidP="00000000" w:rsidRDefault="00000000" w:rsidRPr="00000000" w14:paraId="00000093">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ознайомлюватися з матеріалами, що стосуються випадку булінгу (цькування), брати участь у їх перевірці;</w:t>
      </w:r>
    </w:p>
    <w:p w:rsidR="00000000" w:rsidDel="00000000" w:rsidP="00000000" w:rsidRDefault="00000000" w:rsidRPr="00000000" w14:paraId="00000094">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подавати пропозиції, висловлювати власну думку з питань, що розглядаються;</w:t>
      </w:r>
    </w:p>
    <w:p w:rsidR="00000000" w:rsidDel="00000000" w:rsidP="00000000" w:rsidRDefault="00000000" w:rsidRPr="00000000" w14:paraId="00000095">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брати участь у прийнятті рішення шляхом голосування;</w:t>
      </w:r>
    </w:p>
    <w:p w:rsidR="00000000" w:rsidDel="00000000" w:rsidP="00000000" w:rsidRDefault="00000000" w:rsidRPr="00000000" w14:paraId="00000096">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висловлювати окрему думку усно або письмово;</w:t>
      </w:r>
    </w:p>
    <w:p w:rsidR="00000000" w:rsidDel="00000000" w:rsidP="00000000" w:rsidRDefault="00000000" w:rsidRPr="00000000" w14:paraId="00000097">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вносити пропозиції до порядку денного засідання комісії.</w:t>
      </w:r>
    </w:p>
    <w:p w:rsidR="00000000" w:rsidDel="00000000" w:rsidP="00000000" w:rsidRDefault="00000000" w:rsidRPr="00000000" w14:paraId="00000098">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6. Член комісії зобов'язаний:</w:t>
      </w:r>
    </w:p>
    <w:p w:rsidR="00000000" w:rsidDel="00000000" w:rsidP="00000000" w:rsidRDefault="00000000" w:rsidRPr="00000000" w14:paraId="00000099">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особисто брати участь у роботі комісії;</w:t>
      </w:r>
    </w:p>
    <w:p w:rsidR="00000000" w:rsidDel="00000000" w:rsidP="00000000" w:rsidRDefault="00000000" w:rsidRPr="00000000" w14:paraId="0000009A">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000000" w:rsidDel="00000000" w:rsidP="00000000" w:rsidRDefault="00000000" w:rsidRPr="00000000" w14:paraId="0000009B">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виконувати в межах, передбачених законодавством та посадовими обов'язками, доручення голови комісії;</w:t>
      </w:r>
    </w:p>
    <w:p w:rsidR="00000000" w:rsidDel="00000000" w:rsidP="00000000" w:rsidRDefault="00000000" w:rsidRPr="00000000" w14:paraId="0000009C">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брати участь у голосуванні.</w:t>
      </w:r>
    </w:p>
    <w:p w:rsidR="00000000" w:rsidDel="00000000" w:rsidP="00000000" w:rsidRDefault="00000000" w:rsidRPr="00000000" w14:paraId="0000009D">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IV. Порядок роботи комісії</w:t>
      </w:r>
    </w:p>
    <w:p w:rsidR="00000000" w:rsidDel="00000000" w:rsidP="00000000" w:rsidRDefault="00000000" w:rsidRPr="00000000" w14:paraId="0000009E">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Метою діяльності комісії є припинення випадку булінгу (цькування) в закладі ;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000000" w:rsidDel="00000000" w:rsidP="00000000" w:rsidRDefault="00000000" w:rsidRPr="00000000" w14:paraId="0000009F">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Діяльність комісії здійснюється на принципах:</w:t>
      </w:r>
    </w:p>
    <w:p w:rsidR="00000000" w:rsidDel="00000000" w:rsidP="00000000" w:rsidRDefault="00000000" w:rsidRPr="00000000" w14:paraId="000000A0">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законності;</w:t>
      </w:r>
    </w:p>
    <w:p w:rsidR="00000000" w:rsidDel="00000000" w:rsidP="00000000" w:rsidRDefault="00000000" w:rsidRPr="00000000" w14:paraId="000000A1">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верховенства права;</w:t>
      </w:r>
    </w:p>
    <w:p w:rsidR="00000000" w:rsidDel="00000000" w:rsidP="00000000" w:rsidRDefault="00000000" w:rsidRPr="00000000" w14:paraId="000000A2">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поваги та дотримання прав і свобод людини;</w:t>
      </w:r>
    </w:p>
    <w:p w:rsidR="00000000" w:rsidDel="00000000" w:rsidP="00000000" w:rsidRDefault="00000000" w:rsidRPr="00000000" w14:paraId="000000A3">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неупередженого ставлення до сторін булінгу (цькування);</w:t>
      </w:r>
    </w:p>
    <w:p w:rsidR="00000000" w:rsidDel="00000000" w:rsidP="00000000" w:rsidRDefault="00000000" w:rsidRPr="00000000" w14:paraId="000000A4">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відкритості та прозорості;</w:t>
      </w:r>
    </w:p>
    <w:p w:rsidR="00000000" w:rsidDel="00000000" w:rsidP="00000000" w:rsidRDefault="00000000" w:rsidRPr="00000000" w14:paraId="000000A5">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конфіденційності та захисту персональних даних;</w:t>
      </w:r>
    </w:p>
    <w:p w:rsidR="00000000" w:rsidDel="00000000" w:rsidP="00000000" w:rsidRDefault="00000000" w:rsidRPr="00000000" w14:paraId="000000A6">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невідкладного реагування;</w:t>
      </w:r>
    </w:p>
    <w:p w:rsidR="00000000" w:rsidDel="00000000" w:rsidP="00000000" w:rsidRDefault="00000000" w:rsidRPr="00000000" w14:paraId="000000A7">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комплексного підходу до розгляду випадку булінгу (цькування);</w:t>
      </w:r>
    </w:p>
    <w:p w:rsidR="00000000" w:rsidDel="00000000" w:rsidP="00000000" w:rsidRDefault="00000000" w:rsidRPr="00000000" w14:paraId="000000A8">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нетерпимості до булінгу (цькування) та визнання його суспільної небезпеки.</w:t>
      </w:r>
    </w:p>
    <w:p w:rsidR="00000000" w:rsidDel="00000000" w:rsidP="00000000" w:rsidRDefault="00000000" w:rsidRPr="00000000" w14:paraId="000000A9">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Комісія у своїй діяльності забезпечує дотримання вимог </w:t>
      </w:r>
      <w:hyperlink r:id="rId11">
        <w:r w:rsidDel="00000000" w:rsidR="00000000" w:rsidRPr="00000000">
          <w:rPr>
            <w:rFonts w:ascii="Times New Roman" w:cs="Times New Roman" w:eastAsia="Times New Roman" w:hAnsi="Times New Roman"/>
            <w:sz w:val="27"/>
            <w:szCs w:val="27"/>
            <w:u w:val="single"/>
            <w:rtl w:val="0"/>
          </w:rPr>
          <w:t xml:space="preserve">Законів України "Про інформацію"</w:t>
        </w:r>
      </w:hyperlink>
      <w:r w:rsidDel="00000000" w:rsidR="00000000" w:rsidRPr="00000000">
        <w:rPr>
          <w:rFonts w:ascii="Times New Roman" w:cs="Times New Roman" w:eastAsia="Times New Roman" w:hAnsi="Times New Roman"/>
          <w:sz w:val="27"/>
          <w:szCs w:val="27"/>
          <w:rtl w:val="0"/>
        </w:rPr>
        <w:t xml:space="preserve">, </w:t>
      </w:r>
      <w:hyperlink r:id="rId12">
        <w:r w:rsidDel="00000000" w:rsidR="00000000" w:rsidRPr="00000000">
          <w:rPr>
            <w:rFonts w:ascii="Times New Roman" w:cs="Times New Roman" w:eastAsia="Times New Roman" w:hAnsi="Times New Roman"/>
            <w:sz w:val="27"/>
            <w:szCs w:val="27"/>
            <w:u w:val="single"/>
            <w:rtl w:val="0"/>
          </w:rPr>
          <w:t xml:space="preserve">"Про захист персональних даних"</w:t>
        </w:r>
      </w:hyperlink>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AA">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3. До завдань комісії належать:</w:t>
      </w:r>
    </w:p>
    <w:p w:rsidR="00000000" w:rsidDel="00000000" w:rsidP="00000000" w:rsidRDefault="00000000" w:rsidRPr="00000000" w14:paraId="000000AB">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закладу;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000000" w:rsidDel="00000000" w:rsidP="00000000" w:rsidRDefault="00000000" w:rsidRPr="00000000" w14:paraId="000000AC">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000000" w:rsidDel="00000000" w:rsidP="00000000" w:rsidRDefault="00000000" w:rsidRPr="00000000" w14:paraId="000000AD">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разі прийняття рішення комісією про наявність обставин, що обґрунтовують інформацію, зазначену у заяві, до завдань комісії також належать:</w:t>
      </w:r>
    </w:p>
    <w:p w:rsidR="00000000" w:rsidDel="00000000" w:rsidP="00000000" w:rsidRDefault="00000000" w:rsidRPr="00000000" w14:paraId="000000AE">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визначення причин булінгу (цькування) та необхідних заходів для усунення таких причин;</w:t>
      </w:r>
    </w:p>
    <w:p w:rsidR="00000000" w:rsidDel="00000000" w:rsidP="00000000" w:rsidRDefault="00000000" w:rsidRPr="00000000" w14:paraId="000000AF">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визначення заходів виховного впливу щодо сторін булінгу (цькування) у класі, де стався випадок булінгу (цькування);</w:t>
      </w:r>
    </w:p>
    <w:p w:rsidR="00000000" w:rsidDel="00000000" w:rsidP="00000000" w:rsidRDefault="00000000" w:rsidRPr="00000000" w14:paraId="000000B0">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000000" w:rsidDel="00000000" w:rsidP="00000000" w:rsidRDefault="00000000" w:rsidRPr="00000000" w14:paraId="000000B1">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4. Формою роботи комісії є засідання, які проводяться у разі потреби. Дату, час і місце проведення засідання комісії визначає її голова.</w:t>
      </w:r>
    </w:p>
    <w:p w:rsidR="00000000" w:rsidDel="00000000" w:rsidP="00000000" w:rsidRDefault="00000000" w:rsidRPr="00000000" w14:paraId="000000B2">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5. Засідання комісії є правоможним у разі участі в ньому не менш як двох третин її складу.</w:t>
      </w:r>
    </w:p>
    <w:p w:rsidR="00000000" w:rsidDel="00000000" w:rsidP="00000000" w:rsidRDefault="00000000" w:rsidRPr="00000000" w14:paraId="000000B3">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000000" w:rsidDel="00000000" w:rsidP="00000000" w:rsidRDefault="00000000" w:rsidRPr="00000000" w14:paraId="000000B4">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000000" w:rsidDel="00000000" w:rsidP="00000000" w:rsidRDefault="00000000" w:rsidRPr="00000000" w14:paraId="000000B5">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000000" w:rsidDel="00000000" w:rsidP="00000000" w:rsidRDefault="00000000" w:rsidRPr="00000000" w14:paraId="000000B6">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000000" w:rsidDel="00000000" w:rsidP="00000000" w:rsidRDefault="00000000" w:rsidRPr="00000000" w14:paraId="000000B7">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Особи, залучені до участі в засіданні комісії, під час засідання комісії мають право:</w:t>
      </w:r>
    </w:p>
    <w:p w:rsidR="00000000" w:rsidDel="00000000" w:rsidP="00000000" w:rsidRDefault="00000000" w:rsidRPr="00000000" w14:paraId="000000B8">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ознайомлюватися з матеріалами, поданими на розгляд комісії;</w:t>
      </w:r>
    </w:p>
    <w:p w:rsidR="00000000" w:rsidDel="00000000" w:rsidP="00000000" w:rsidRDefault="00000000" w:rsidRPr="00000000" w14:paraId="000000B9">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ставити питання по суті розгляду;</w:t>
      </w:r>
    </w:p>
    <w:p w:rsidR="00000000" w:rsidDel="00000000" w:rsidP="00000000" w:rsidRDefault="00000000" w:rsidRPr="00000000" w14:paraId="000000BA">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подавати пропозиції, висловлювати власну думку з питань, що розглядаються.</w:t>
      </w:r>
    </w:p>
    <w:p w:rsidR="00000000" w:rsidDel="00000000" w:rsidP="00000000" w:rsidRDefault="00000000" w:rsidRPr="00000000" w14:paraId="000000BB">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000000" w:rsidDel="00000000" w:rsidP="00000000" w:rsidRDefault="00000000" w:rsidRPr="00000000" w14:paraId="000000BC">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000000" w:rsidDel="00000000" w:rsidP="00000000" w:rsidRDefault="00000000" w:rsidRPr="00000000" w14:paraId="000000BD">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V. Запобігання та протидія булінгу (цькуванню) в закладі освіти</w:t>
      </w:r>
    </w:p>
    <w:p w:rsidR="00000000" w:rsidDel="00000000" w:rsidP="00000000" w:rsidRDefault="00000000" w:rsidRPr="00000000" w14:paraId="000000BE">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Діяльність щодо запобігання та протидії булінгу (цькуванню) в закладі освіти має бути постійним системним процесом, спрямованим на:</w:t>
      </w:r>
    </w:p>
    <w:p w:rsidR="00000000" w:rsidDel="00000000" w:rsidP="00000000" w:rsidRDefault="00000000" w:rsidRPr="00000000" w14:paraId="000000BF">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000000" w:rsidDel="00000000" w:rsidP="00000000" w:rsidRDefault="00000000" w:rsidRPr="00000000" w14:paraId="000000C0">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виявлення булінгу (цькування) та (або) потенційних ризиків його виникнення;</w:t>
      </w:r>
    </w:p>
    <w:p w:rsidR="00000000" w:rsidDel="00000000" w:rsidP="00000000" w:rsidRDefault="00000000" w:rsidRPr="00000000" w14:paraId="000000C1">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000000" w:rsidDel="00000000" w:rsidP="00000000" w:rsidRDefault="00000000" w:rsidRPr="00000000" w14:paraId="000000C2">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Діяльність щодо запобігання та протидії булінгу (цькуванню) в закладі освіти ґрунтується на принципах:</w:t>
      </w:r>
    </w:p>
    <w:p w:rsidR="00000000" w:rsidDel="00000000" w:rsidP="00000000" w:rsidRDefault="00000000" w:rsidRPr="00000000" w14:paraId="000000C3">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недискримінації за будь-якими ознаками;</w:t>
      </w:r>
    </w:p>
    <w:p w:rsidR="00000000" w:rsidDel="00000000" w:rsidP="00000000" w:rsidRDefault="00000000" w:rsidRPr="00000000" w14:paraId="000000C4">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ненасильницької поведінки в міжособистісних стосунках;</w:t>
      </w:r>
    </w:p>
    <w:p w:rsidR="00000000" w:rsidDel="00000000" w:rsidP="00000000" w:rsidRDefault="00000000" w:rsidRPr="00000000" w14:paraId="000000C5">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партнерства та підтримки між педагогічним колективом і батьками (законними представниками) малолітнього чи неповнолітнього здобувача освіти;</w:t>
      </w:r>
    </w:p>
    <w:p w:rsidR="00000000" w:rsidDel="00000000" w:rsidP="00000000" w:rsidRDefault="00000000" w:rsidRPr="00000000" w14:paraId="000000C6">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особистісно-орієнтованого підходу до кожної дитини;</w:t>
      </w:r>
    </w:p>
    <w:p w:rsidR="00000000" w:rsidDel="00000000" w:rsidP="00000000" w:rsidRDefault="00000000" w:rsidRPr="00000000" w14:paraId="000000C7">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розвитку соціального та емоційного інтелекту учасників освітнього процесу;</w:t>
      </w:r>
    </w:p>
    <w:p w:rsidR="00000000" w:rsidDel="00000000" w:rsidP="00000000" w:rsidRDefault="00000000" w:rsidRPr="00000000" w14:paraId="000000C8">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гендерної рівності;</w:t>
      </w:r>
    </w:p>
    <w:p w:rsidR="00000000" w:rsidDel="00000000" w:rsidP="00000000" w:rsidRDefault="00000000" w:rsidRPr="00000000" w14:paraId="000000C9">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участі учасників освітнього процесу в прийнятті рішень відповідно до положень законодавства та установчих документів закладу освіти.</w:t>
      </w:r>
    </w:p>
    <w:p w:rsidR="00000000" w:rsidDel="00000000" w:rsidP="00000000" w:rsidRDefault="00000000" w:rsidRPr="00000000" w14:paraId="000000CA">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3. Завданнями діяльності щодо запобігання та протидії булінгу (цькуванню) в закладі  є:</w:t>
      </w:r>
    </w:p>
    <w:p w:rsidR="00000000" w:rsidDel="00000000" w:rsidP="00000000" w:rsidRDefault="00000000" w:rsidRPr="00000000" w14:paraId="000000CB">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створення безпечного освітнього середовища в закладі освіти, що включає психологічну та фізичну безпеку учасників освітнього процесу;</w:t>
      </w:r>
    </w:p>
    <w:p w:rsidR="00000000" w:rsidDel="00000000" w:rsidP="00000000" w:rsidRDefault="00000000" w:rsidRPr="00000000" w14:paraId="000000CC">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визначення стану, причин і передумов поширення булінгу (цькування) в закладі освіти;</w:t>
      </w:r>
    </w:p>
    <w:p w:rsidR="00000000" w:rsidDel="00000000" w:rsidP="00000000" w:rsidRDefault="00000000" w:rsidRPr="00000000" w14:paraId="000000CD">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підвищення рівня поінформованості учасників освітнього процесу про булінг (цькування);</w:t>
      </w:r>
    </w:p>
    <w:p w:rsidR="00000000" w:rsidDel="00000000" w:rsidP="00000000" w:rsidRDefault="00000000" w:rsidRPr="00000000" w14:paraId="000000CE">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000000" w:rsidDel="00000000" w:rsidP="00000000" w:rsidRDefault="00000000" w:rsidRPr="00000000" w14:paraId="000000CF">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заохочення всіх учасників освітнього процесу до активного сприяння запобіганню булінгу (цькуванню).</w:t>
      </w:r>
    </w:p>
    <w:p w:rsidR="00000000" w:rsidDel="00000000" w:rsidP="00000000" w:rsidRDefault="00000000" w:rsidRPr="00000000" w14:paraId="000000D0">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000000" w:rsidDel="00000000" w:rsidP="00000000" w:rsidRDefault="00000000" w:rsidRPr="00000000" w14:paraId="000000D1">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000000" w:rsidDel="00000000" w:rsidP="00000000" w:rsidRDefault="00000000" w:rsidRPr="00000000" w14:paraId="000000D2">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Планування відповідних заходів здійснюється за результатами моніторингу стану освітнього середовища в закладі .</w:t>
      </w:r>
    </w:p>
    <w:p w:rsidR="00000000" w:rsidDel="00000000" w:rsidP="00000000" w:rsidRDefault="00000000" w:rsidRPr="00000000" w14:paraId="000000D3">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Заплановані заходи повинні:</w:t>
      </w:r>
    </w:p>
    <w:p w:rsidR="00000000" w:rsidDel="00000000" w:rsidP="00000000" w:rsidRDefault="00000000" w:rsidRPr="00000000" w14:paraId="000000D4">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спрямовуватись на задоволення потреб окремого закладу освіти у створенні безпечного освітнього середовища;</w:t>
      </w:r>
    </w:p>
    <w:p w:rsidR="00000000" w:rsidDel="00000000" w:rsidP="00000000" w:rsidRDefault="00000000" w:rsidRPr="00000000" w14:paraId="000000D5">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мати вимірювані показники ефективності;</w:t>
      </w:r>
    </w:p>
    <w:p w:rsidR="00000000" w:rsidDel="00000000" w:rsidP="00000000" w:rsidRDefault="00000000" w:rsidRPr="00000000" w14:paraId="000000D6">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залучати всіх учасників освітнього процесу.</w:t>
      </w:r>
    </w:p>
    <w:p w:rsidR="00000000" w:rsidDel="00000000" w:rsidP="00000000" w:rsidRDefault="00000000" w:rsidRPr="00000000" w14:paraId="000000D7">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000000" w:rsidDel="00000000" w:rsidP="00000000" w:rsidRDefault="00000000" w:rsidRPr="00000000" w14:paraId="000000D8">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000000" w:rsidDel="00000000" w:rsidP="00000000" w:rsidRDefault="00000000" w:rsidRPr="00000000" w14:paraId="000000D9">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5. До заходів, спрямованих на запобігання та протидію булінгу (цькуванню) в закладі, належать заходи щодо:</w:t>
      </w:r>
    </w:p>
    <w:p w:rsidR="00000000" w:rsidDel="00000000" w:rsidP="00000000" w:rsidRDefault="00000000" w:rsidRPr="00000000" w14:paraId="000000DA">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000000" w:rsidDel="00000000" w:rsidP="00000000" w:rsidRDefault="00000000" w:rsidRPr="00000000" w14:paraId="000000DB">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організації безпечного користування мережею Інтернет під час освітнього процесу;</w:t>
      </w:r>
    </w:p>
    <w:p w:rsidR="00000000" w:rsidDel="00000000" w:rsidP="00000000" w:rsidRDefault="00000000" w:rsidRPr="00000000" w14:paraId="000000DC">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контролю за використанням засобів електронних комунікацій малолітніми чи неповнолітніми здобувачами освіти під час освітнього процесу;</w:t>
      </w:r>
    </w:p>
    <w:p w:rsidR="00000000" w:rsidDel="00000000" w:rsidP="00000000" w:rsidRDefault="00000000" w:rsidRPr="00000000" w14:paraId="000000DD">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розвитку соціального та емоційного інтелекту учасників освітнього процесу, зокрема:</w:t>
      </w:r>
    </w:p>
    <w:p w:rsidR="00000000" w:rsidDel="00000000" w:rsidP="00000000" w:rsidRDefault="00000000" w:rsidRPr="00000000" w14:paraId="000000DE">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розуміння та сприйняття цінності прав та свобод людини, вміння відстоювати свої права та поважати права інших;</w:t>
      </w:r>
    </w:p>
    <w:p w:rsidR="00000000" w:rsidDel="00000000" w:rsidP="00000000" w:rsidRDefault="00000000" w:rsidRPr="00000000" w14:paraId="000000DF">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000000" w:rsidDel="00000000" w:rsidP="00000000" w:rsidRDefault="00000000" w:rsidRPr="00000000" w14:paraId="000000E0">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здатності попереджувати та розв'язувати конфлікти ненасильницьким шляхом;</w:t>
      </w:r>
    </w:p>
    <w:p w:rsidR="00000000" w:rsidDel="00000000" w:rsidP="00000000" w:rsidRDefault="00000000" w:rsidRPr="00000000" w14:paraId="000000E1">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відповідального ставлення до своїх громадянських прав і обов'язків, пов'язаних з участю в суспільному житті;</w:t>
      </w:r>
    </w:p>
    <w:p w:rsidR="00000000" w:rsidDel="00000000" w:rsidP="00000000" w:rsidRDefault="00000000" w:rsidRPr="00000000" w14:paraId="000000E2">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000000" w:rsidDel="00000000" w:rsidP="00000000" w:rsidRDefault="00000000" w:rsidRPr="00000000" w14:paraId="000000E3">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здатності критично аналізувати інформацію, розглядати питання з різних позицій, приймати обґрунтовані рішення;</w:t>
      </w:r>
    </w:p>
    <w:p w:rsidR="00000000" w:rsidDel="00000000" w:rsidP="00000000" w:rsidRDefault="00000000" w:rsidRPr="00000000" w14:paraId="000000E4">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здатності до комунікації та вміння співпрацювати для розв'язання різних суспільних проблем, зокрема шляхом волонтерської діяльності тощо;</w:t>
      </w:r>
    </w:p>
    <w:p w:rsidR="00000000" w:rsidDel="00000000" w:rsidP="00000000" w:rsidRDefault="00000000" w:rsidRPr="00000000" w14:paraId="000000E5">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000000" w:rsidDel="00000000" w:rsidP="00000000" w:rsidRDefault="00000000" w:rsidRPr="00000000" w14:paraId="000000E6">
      <w:pPr>
        <w:shd w:fill="ffffff" w:val="clear"/>
        <w:spacing w:after="0" w:line="240" w:lineRule="auto"/>
        <w:ind w:firstLine="72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створення в закладі  культури, що ґрунтується на нетерпимості до будь-яких форм насильства та дискримінації, в тому числі булінгу (цькування).</w:t>
      </w:r>
    </w:p>
    <w:p w:rsidR="00000000" w:rsidDel="00000000" w:rsidP="00000000" w:rsidRDefault="00000000" w:rsidRPr="00000000" w14:paraId="000000E7">
      <w:pPr>
        <w:shd w:fill="ffffff" w:val="clear"/>
        <w:spacing w:after="0" w:line="240" w:lineRule="auto"/>
        <w:ind w:firstLine="720"/>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 </w:t>
      </w:r>
    </w:p>
    <w:p w:rsidR="00000000" w:rsidDel="00000000" w:rsidP="00000000" w:rsidRDefault="00000000" w:rsidRPr="00000000" w14:paraId="000000E8">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sectPr>
      <w:pgSz w:h="15840" w:w="12240" w:orient="portrait"/>
      <w:pgMar w:bottom="1134" w:top="1134"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arch.ligazakon.ua/l_doc2.nsf/link1/T265700.html" TargetMode="External"/><Relationship Id="rId10" Type="http://schemas.openxmlformats.org/officeDocument/2006/relationships/hyperlink" Target="http://search.ligazakon.ua/l_doc2.nsf/link1/T125207.html" TargetMode="External"/><Relationship Id="rId12" Type="http://schemas.openxmlformats.org/officeDocument/2006/relationships/hyperlink" Target="http://search.ligazakon.ua/l_doc2.nsf/link1/T102297.html" TargetMode="External"/><Relationship Id="rId9" Type="http://schemas.openxmlformats.org/officeDocument/2006/relationships/hyperlink" Target="http://search.ligazakon.ua/l_doc2.nsf/link1/T052866.html" TargetMode="External"/><Relationship Id="rId5" Type="http://schemas.openxmlformats.org/officeDocument/2006/relationships/styles" Target="styles.xml"/><Relationship Id="rId6" Type="http://schemas.openxmlformats.org/officeDocument/2006/relationships/hyperlink" Target="http://search.ligazakon.ua/l_doc2.nsf/link1/T172145.html" TargetMode="External"/><Relationship Id="rId7" Type="http://schemas.openxmlformats.org/officeDocument/2006/relationships/hyperlink" Target="http://search.ligazakon.ua/l_doc2.nsf/link1/T192671.html" TargetMode="External"/><Relationship Id="rId8" Type="http://schemas.openxmlformats.org/officeDocument/2006/relationships/hyperlink" Target="http://search.ligazakon.ua/l_doc2.nsf/link1/T0125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