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2D" w:rsidRPr="007C702D" w:rsidRDefault="007C702D" w:rsidP="007C702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>Ризики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>пов’язані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>використанням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>підлітками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ЗМІ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частіше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уявляють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розділити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рівному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peer-to-peer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небажаний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контент;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недоторканності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приватного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сторонніх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Кіберпереслідування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 та «онлайн-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домагання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Кіберпереслідування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зумисне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ЗМІ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хибної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непристойної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несприятливої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рівному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«онлайн-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домагання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часто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нарівні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кіберпереслідування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насправді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Є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«онлайн-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домагання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трапляється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так часто, як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переслідування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реальності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й участь 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мережах не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більшості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«онлайн-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домагань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З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боку,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кіберпереслідування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трапляється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загрожувати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 і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призвести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глибоких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неспокою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тяжкої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ізоляції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і, на жаль,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самогубства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Секстинг</w:t>
      </w:r>
      <w:proofErr w:type="spellEnd"/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Секстинг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«передачу,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пересилання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сексуальних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телефона,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комп’ютера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пристроїв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Безліч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розповсюджуються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нещодавнє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опитування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показало,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20%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відсилали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розміщували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оголеними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напівоголеними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Декотрі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них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опинилися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звинувачення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звинувачено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кримінальному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злочині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порнографія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часом за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штатів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неповнолітніх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припинення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винуватцями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супутніми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жертв. Але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здебільшого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секстинг-інцидент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однієї-двох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невеликих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серйозних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Facebook-депресія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Дослідники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запропонували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феномен, названий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Facebook-депресія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витрачають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ЗМІ, таких як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класичні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такими ж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вони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контактувати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ними є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підліткового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Надмірна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онлайновому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Як і при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викликаній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реального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світу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страждають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Facebook-депресії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піддаються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ізоляції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звертаються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ризикованих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інтернет-сайтів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призвести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зловживання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небезпечного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сексу,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агресивної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саморуйнівної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319" w:rsidRDefault="007A2319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конфіденційності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та «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цифровий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відбиток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для кожного»,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неналежного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недотримання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конфіденційності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обмін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занадто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великою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недостовірної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себе</w:t>
      </w:r>
      <w:proofErr w:type="gram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приватного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інтернет-користувачі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залишити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відвідали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поточний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усієї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відбиток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найсерйозніших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репутації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на сайтах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ЗМІ є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відбиток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вистачає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приватного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часто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недоречні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фото 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розуміючи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«те,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потрапляє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коледжу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опинитися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необдумані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поспішні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мишкою.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Безладна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інтернет-активність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легкою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мішенню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торговців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шахраїв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319" w:rsidRDefault="007A2319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Вплив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реклами</w:t>
      </w:r>
      <w:proofErr w:type="spellEnd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C702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купівлю</w:t>
      </w:r>
      <w:proofErr w:type="spellEnd"/>
    </w:p>
    <w:p w:rsidR="007C702D" w:rsidRPr="007C702D" w:rsidRDefault="007C702D" w:rsidP="007C702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перенасичені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банерами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поведінковою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рекламою (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людей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«веб-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браузингової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»), рекламою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демографічній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людей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сімейного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впливає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погляди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нормами.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особливо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обізнаними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поведінковій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часто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сайтах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ЗМІ і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користувачів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сайту з метою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потужний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розпочинається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щойно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інтернетом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поштою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-ресурсах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розміщувати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сайтах,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відвідують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 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інформувати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практики,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ставали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грамотними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медіа-споживачами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розуміли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реклама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 </w:t>
      </w:r>
      <w:proofErr w:type="spellStart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маніпулювати</w:t>
      </w:r>
      <w:proofErr w:type="spellEnd"/>
      <w:r w:rsidRPr="007C7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ними.</w:t>
      </w:r>
    </w:p>
    <w:p w:rsidR="007A2319" w:rsidRDefault="007A2319">
      <w:pPr>
        <w:rPr>
          <w:rFonts w:ascii="Times New Roman" w:hAnsi="Times New Roman" w:cs="Times New Roman"/>
          <w:sz w:val="28"/>
          <w:szCs w:val="28"/>
        </w:rPr>
      </w:pPr>
    </w:p>
    <w:p w:rsidR="00083143" w:rsidRPr="007A2319" w:rsidRDefault="007A23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A2319">
        <w:rPr>
          <w:rFonts w:ascii="Times New Roman" w:hAnsi="Times New Roman" w:cs="Times New Roman"/>
          <w:b/>
          <w:sz w:val="28"/>
          <w:szCs w:val="28"/>
        </w:rPr>
        <w:t xml:space="preserve">Тому </w:t>
      </w:r>
      <w:r w:rsidRPr="007A231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2319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7A2319">
        <w:rPr>
          <w:rFonts w:ascii="Times New Roman" w:hAnsi="Times New Roman" w:cs="Times New Roman"/>
          <w:b/>
          <w:sz w:val="28"/>
          <w:szCs w:val="28"/>
          <w:lang w:val="uk-UA"/>
        </w:rPr>
        <w:t>іти</w:t>
      </w:r>
      <w:proofErr w:type="gramEnd"/>
      <w:r w:rsidRPr="007A2319">
        <w:rPr>
          <w:rFonts w:ascii="Times New Roman" w:hAnsi="Times New Roman" w:cs="Times New Roman"/>
          <w:b/>
          <w:sz w:val="28"/>
          <w:szCs w:val="28"/>
          <w:lang w:val="uk-UA"/>
        </w:rPr>
        <w:t>,витрачайте</w:t>
      </w:r>
      <w:proofErr w:type="spellEnd"/>
      <w:r w:rsidRPr="007A2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свій час на прогулянки на свіжому  повітрі та на спілкування з однолітками без мережі інтернет!</w:t>
      </w:r>
      <w:bookmarkStart w:id="0" w:name="_GoBack"/>
      <w:bookmarkEnd w:id="0"/>
    </w:p>
    <w:sectPr w:rsidR="00083143" w:rsidRPr="007A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2D"/>
    <w:rsid w:val="00083143"/>
    <w:rsid w:val="007A2319"/>
    <w:rsid w:val="007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C80A"/>
  <w15:chartTrackingRefBased/>
  <w15:docId w15:val="{F8660510-DF91-40B1-B7BB-71647BD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2020-05-15T09:22:00Z</dcterms:created>
  <dcterms:modified xsi:type="dcterms:W3CDTF">2020-05-15T09:22:00Z</dcterms:modified>
</cp:coreProperties>
</file>