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90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proofErr w:type="spellStart"/>
      <w:r w:rsidRPr="003C434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Вишнівська</w:t>
      </w:r>
      <w:proofErr w:type="spellEnd"/>
      <w:r w:rsidRPr="003C434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сільська рада</w:t>
      </w: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ШТУНСЬКА</w:t>
      </w: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ЗАГАЛЬНООСВІТНЯ ШКОЛА  І-ІІІ СТУПЕНІВ</w:t>
      </w: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3C4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А К А </w:t>
      </w:r>
      <w:proofErr w:type="gramStart"/>
      <w:r w:rsidRPr="003C4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3C43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3C4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 квітня 2020 року</w:t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</w:t>
      </w:r>
      <w:proofErr w:type="spellStart"/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с.Штунь</w:t>
      </w:r>
      <w:proofErr w:type="spellEnd"/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№44</w:t>
      </w: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підсумкового оцінювання</w:t>
      </w: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організованого завершення 2019-2020 </w:t>
      </w:r>
      <w:proofErr w:type="spellStart"/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C434C" w:rsidRPr="003C434C" w:rsidRDefault="003C434C" w:rsidP="003C434C">
      <w:pPr>
        <w:widowControl w:val="0"/>
        <w:autoSpaceDE w:val="0"/>
        <w:autoSpaceDN w:val="0"/>
        <w:spacing w:before="225" w:after="0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Відповідно до частини 8 статті 12 Закону України «Про освіту», частин третьої та четвертої статті 10 Закону України </w:t>
      </w:r>
      <w:hyperlink r:id="rId7">
        <w:r w:rsidRPr="003C434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«Про повну загальну середню освіту</w:t>
        </w:r>
      </w:hyperlink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», на виконання наказу МОН України № 463 від 30 березня 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керуючись рекомендаціями МОН України, викладених у Листах «Щодо організованого завершення 2019/2020 навчального року та зарахування до закладів загальної середньої освіти» № 1/9-182 від 31.03.2020 року та «Щодо проведення підсумкового оцінювання та організованого завершення 2019-2020 навчального року» № 1/9-213 від 16 квітня 2020 року, у відповідності до Робочого навчального плану навчального закладу на 2019/2020н.р., протоколу педради від 21.04.2020 року №10</w:t>
      </w:r>
    </w:p>
    <w:p w:rsidR="003C434C" w:rsidRPr="003C434C" w:rsidRDefault="003C434C" w:rsidP="003C434C">
      <w:pPr>
        <w:widowControl w:val="0"/>
        <w:autoSpaceDE w:val="0"/>
        <w:autoSpaceDN w:val="0"/>
        <w:spacing w:before="225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3C434C" w:rsidRPr="003C434C" w:rsidRDefault="003C434C" w:rsidP="003C434C">
      <w:pPr>
        <w:widowControl w:val="0"/>
        <w:tabs>
          <w:tab w:val="left" w:pos="2276"/>
        </w:tabs>
        <w:autoSpaceDE w:val="0"/>
        <w:autoSpaceDN w:val="0"/>
        <w:spacing w:after="0" w:line="240" w:lineRule="auto"/>
        <w:ind w:left="113" w:right="3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1.Затвердити Календарний робочий план організованого завершення 2019- 2020 навчального року (додаток</w:t>
      </w:r>
      <w:r w:rsidRPr="003C434C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1).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2.Затвердити Порядок здійснення підсумкового оцінювання у  2019-2020 навчальному році (додаток</w:t>
      </w:r>
      <w:r w:rsidRPr="003C434C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2).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3. Затвердити графік проведення підсумкового оцінювання учнів 3-11 класів у 2019-2020 навчальному році (додаток 3).</w:t>
      </w:r>
    </w:p>
    <w:p w:rsidR="003C434C" w:rsidRPr="003C434C" w:rsidRDefault="003C434C" w:rsidP="003C434C">
      <w:pPr>
        <w:widowControl w:val="0"/>
        <w:tabs>
          <w:tab w:val="left" w:pos="475"/>
        </w:tabs>
        <w:autoSpaceDE w:val="0"/>
        <w:autoSpaceDN w:val="0"/>
        <w:spacing w:after="0"/>
        <w:ind w:left="-29" w:right="10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4.Семестрове та річне оцінювання здійснити до 29 травня 2020 року. Оцінки за ІІ семестр виставити з урахуванням результатів поточного, тематичного оцінювання, оцінювання різних видів мовленнєвої діяльності, отриманих учнями під час дистанційного навчання та до його початку,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lastRenderedPageBreak/>
        <w:t>керуючись Порядком здійснення підсумкового оцінювання у 2019/2020</w:t>
      </w:r>
    </w:p>
    <w:p w:rsidR="003C434C" w:rsidRPr="003C434C" w:rsidRDefault="003C434C" w:rsidP="003C434C">
      <w:pPr>
        <w:widowControl w:val="0"/>
        <w:tabs>
          <w:tab w:val="left" w:pos="475"/>
        </w:tabs>
        <w:autoSpaceDE w:val="0"/>
        <w:autoSpaceDN w:val="0"/>
        <w:spacing w:after="0"/>
        <w:ind w:left="-29" w:right="10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>навчальному</w:t>
      </w:r>
      <w:r w:rsidRPr="003C434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році.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5.Завершити дистанційне навчання в усіх класах 29 травня 2020 року.</w:t>
      </w:r>
      <w:r w:rsidRPr="003C434C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Свято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«Останній дзвінок» не проводити.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6.Звільнити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7.Навчальну практику, навчальні екскурсії у 2019/2020   навчальному році не проводити.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8.Документи про базову середню освіту видати до 15 червня 2020 року згідно графіків з дотриманням </w:t>
      </w:r>
      <w:proofErr w:type="spellStart"/>
      <w:r w:rsidRPr="003C434C">
        <w:rPr>
          <w:rFonts w:ascii="Times New Roman" w:eastAsia="Times New Roman" w:hAnsi="Times New Roman" w:cs="Times New Roman"/>
          <w:sz w:val="28"/>
          <w:lang w:val="uk-UA"/>
        </w:rPr>
        <w:t>протиепідеміологічних</w:t>
      </w:r>
      <w:proofErr w:type="spellEnd"/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вимог. Урочистого вручення </w:t>
      </w:r>
      <w:proofErr w:type="spellStart"/>
      <w:r w:rsidRPr="003C434C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proofErr w:type="spellEnd"/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про базову середню освіту не</w:t>
      </w:r>
      <w:r w:rsidRPr="003C434C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проводити.</w:t>
      </w:r>
    </w:p>
    <w:p w:rsidR="003C434C" w:rsidRPr="003C434C" w:rsidRDefault="003C434C" w:rsidP="003C434C">
      <w:pPr>
        <w:widowControl w:val="0"/>
        <w:tabs>
          <w:tab w:val="left" w:pos="398"/>
        </w:tabs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9.Виписку та вручення документів про повну середню освіту провести після прийняття Урядом рішення щодо зняття карантинних обмежень та після проходження випускниками зовнішнього незалежного</w:t>
      </w:r>
      <w:r w:rsidRPr="003C434C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оцінювання.</w:t>
      </w:r>
    </w:p>
    <w:p w:rsidR="003C434C" w:rsidRPr="003C434C" w:rsidRDefault="003C434C" w:rsidP="003C434C">
      <w:pPr>
        <w:widowControl w:val="0"/>
        <w:tabs>
          <w:tab w:val="left" w:pos="395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10. Педагогічним працівникам</w:t>
      </w:r>
      <w:r w:rsidRPr="003C434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закладу:</w:t>
      </w:r>
    </w:p>
    <w:p w:rsidR="003C434C" w:rsidRPr="003C434C" w:rsidRDefault="003C434C" w:rsidP="003C434C">
      <w:pPr>
        <w:widowControl w:val="0"/>
        <w:tabs>
          <w:tab w:val="left" w:pos="60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10.1.Заповнення класних журналів,</w:t>
      </w:r>
      <w:r w:rsidRPr="003C434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інклюзивного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навчання, факультативів, курсів за вибором, гурткової роботи та особових справ учнів завершити після прийняття Урядом рішення щодо послаблення карантинних обмежень, до 15 червня 2020 року.</w:t>
      </w:r>
    </w:p>
    <w:p w:rsidR="003C434C" w:rsidRPr="003C434C" w:rsidRDefault="003C434C" w:rsidP="003C434C">
      <w:pPr>
        <w:widowControl w:val="0"/>
        <w:tabs>
          <w:tab w:val="left" w:pos="60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10.2.Організувати на початку 2020/2021 навчального року в 2-11-х класах проведення вхідного оцінювання учнів з метою діагностування рівня</w:t>
      </w:r>
      <w:r w:rsidRPr="003C434C">
        <w:rPr>
          <w:rFonts w:ascii="Times New Roman" w:eastAsia="Times New Roman" w:hAnsi="Times New Roman" w:cs="Times New Roman"/>
          <w:spacing w:val="-40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навчальних досягнень учнів за попередній рік та планування подальшої роботи</w:t>
      </w:r>
      <w:r w:rsidRPr="003C434C">
        <w:rPr>
          <w:rFonts w:ascii="Times New Roman" w:eastAsia="Times New Roman" w:hAnsi="Times New Roman" w:cs="Times New Roman"/>
          <w:spacing w:val="-19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із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систематизації,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узагальнення та закріплення навчального матеріалу, що вивчався учнями дистанційно.</w:t>
      </w:r>
    </w:p>
    <w:p w:rsidR="003C434C" w:rsidRPr="003C434C" w:rsidRDefault="003C434C" w:rsidP="003C434C">
      <w:pPr>
        <w:widowControl w:val="0"/>
        <w:numPr>
          <w:ilvl w:val="1"/>
          <w:numId w:val="1"/>
        </w:numPr>
        <w:tabs>
          <w:tab w:val="left" w:pos="60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>10.3.Передбачити під час календарно-тематичного планування на</w:t>
      </w:r>
    </w:p>
    <w:p w:rsidR="003C434C" w:rsidRPr="003C434C" w:rsidRDefault="003C434C" w:rsidP="003C434C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2020/2021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3C434C" w:rsidRPr="003C434C" w:rsidRDefault="003C434C" w:rsidP="003C434C">
      <w:pPr>
        <w:widowControl w:val="0"/>
        <w:tabs>
          <w:tab w:val="left" w:pos="536"/>
        </w:tabs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11.Класним керівникам 1-11-их класів:</w:t>
      </w:r>
    </w:p>
    <w:p w:rsidR="003C434C" w:rsidRPr="003C434C" w:rsidRDefault="003C434C" w:rsidP="003C434C">
      <w:pPr>
        <w:widowControl w:val="0"/>
        <w:tabs>
          <w:tab w:val="left" w:pos="746"/>
        </w:tabs>
        <w:autoSpaceDE w:val="0"/>
        <w:autoSpaceDN w:val="0"/>
        <w:spacing w:after="0"/>
        <w:ind w:left="113" w:right="19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11.1.Виписку табелів навчальних досягнень учнів (1-2 класи - </w:t>
      </w:r>
      <w:proofErr w:type="spellStart"/>
      <w:r w:rsidRPr="003C434C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proofErr w:type="spellEnd"/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досягнень), Похвальних листів здійснити до 15 червня 2020 року. Учням 1-8, 10 класів, які не планують навчатися в іншому закладі освіти, копію Табеля успішності та Похвальні Листи надіслати кожному особисто через </w:t>
      </w:r>
      <w:proofErr w:type="spellStart"/>
      <w:r w:rsidRPr="003C434C">
        <w:rPr>
          <w:rFonts w:ascii="Times New Roman" w:eastAsia="Times New Roman" w:hAnsi="Times New Roman" w:cs="Times New Roman"/>
          <w:sz w:val="28"/>
          <w:lang w:val="uk-UA"/>
        </w:rPr>
        <w:t>Viber</w:t>
      </w:r>
      <w:proofErr w:type="spellEnd"/>
      <w:r w:rsidRPr="003C434C">
        <w:rPr>
          <w:rFonts w:ascii="Times New Roman" w:eastAsia="Times New Roman" w:hAnsi="Times New Roman" w:cs="Times New Roman"/>
          <w:sz w:val="28"/>
          <w:lang w:val="uk-UA"/>
        </w:rPr>
        <w:t>. Оригінали документів видати у вересні 2020</w:t>
      </w:r>
      <w:r w:rsidRPr="003C434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року.</w:t>
      </w:r>
    </w:p>
    <w:p w:rsidR="003C434C" w:rsidRPr="003C434C" w:rsidRDefault="003C434C" w:rsidP="003C434C">
      <w:pPr>
        <w:widowControl w:val="0"/>
        <w:tabs>
          <w:tab w:val="left" w:pos="746"/>
        </w:tabs>
        <w:autoSpaceDE w:val="0"/>
        <w:autoSpaceDN w:val="0"/>
        <w:spacing w:after="0"/>
        <w:ind w:left="113"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11.2.Оформлення особових справ учнів завершити після прийняття Урядом рішення щодо послаблення карантинних</w:t>
      </w:r>
      <w:r w:rsidRPr="003C434C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обмежень.</w:t>
      </w:r>
    </w:p>
    <w:p w:rsidR="003C434C" w:rsidRPr="003C434C" w:rsidRDefault="003C434C" w:rsidP="003C434C">
      <w:pPr>
        <w:widowControl w:val="0"/>
        <w:tabs>
          <w:tab w:val="left" w:pos="535"/>
        </w:tabs>
        <w:autoSpaceDE w:val="0"/>
        <w:autoSpaceDN w:val="0"/>
        <w:spacing w:after="0"/>
        <w:ind w:left="53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>12.Заступнику директора з навчальної роботи Антонюк Г.І.:</w:t>
      </w:r>
    </w:p>
    <w:p w:rsidR="003C434C" w:rsidRPr="003C434C" w:rsidRDefault="003C434C" w:rsidP="003C434C">
      <w:pPr>
        <w:widowControl w:val="0"/>
        <w:tabs>
          <w:tab w:val="left" w:pos="74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  11.1.До 29.04.2020 р. у погодженні з вчителями скласти графік</w:t>
      </w:r>
      <w:r w:rsidRPr="003C434C">
        <w:rPr>
          <w:rFonts w:ascii="Times New Roman" w:eastAsia="Times New Roman" w:hAnsi="Times New Roman" w:cs="Times New Roman"/>
          <w:spacing w:val="-13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проведення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підсумкових контрольних робіт за ІІ семестр протягом травня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2020 року з предметів,  де передба</w:t>
      </w:r>
      <w:bookmarkStart w:id="0" w:name="_GoBack"/>
      <w:bookmarkEnd w:id="0"/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чено їх проведення;</w:t>
      </w:r>
    </w:p>
    <w:p w:rsidR="003C434C" w:rsidRPr="003C434C" w:rsidRDefault="003C434C" w:rsidP="003C434C">
      <w:pPr>
        <w:widowControl w:val="0"/>
        <w:tabs>
          <w:tab w:val="left" w:pos="744"/>
        </w:tabs>
        <w:autoSpaceDE w:val="0"/>
        <w:autoSpaceDN w:val="0"/>
        <w:spacing w:after="0"/>
        <w:ind w:left="113" w:right="5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12.2. До 15.06.2020 року узагальнити наказом по школі здійснення</w:t>
      </w:r>
    </w:p>
    <w:p w:rsidR="003C434C" w:rsidRPr="003C434C" w:rsidRDefault="003C434C" w:rsidP="003C434C">
      <w:pPr>
        <w:widowControl w:val="0"/>
        <w:tabs>
          <w:tab w:val="left" w:pos="744"/>
        </w:tabs>
        <w:autoSpaceDE w:val="0"/>
        <w:autoSpaceDN w:val="0"/>
        <w:spacing w:after="0"/>
        <w:ind w:right="5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>дистанційного навчання у закладі та проведення;</w:t>
      </w:r>
    </w:p>
    <w:p w:rsidR="003C434C" w:rsidRPr="003C434C" w:rsidRDefault="003C434C" w:rsidP="003C434C">
      <w:pPr>
        <w:widowControl w:val="0"/>
        <w:tabs>
          <w:tab w:val="left" w:pos="744"/>
        </w:tabs>
        <w:autoSpaceDE w:val="0"/>
        <w:autoSpaceDN w:val="0"/>
        <w:spacing w:after="0"/>
        <w:ind w:left="113" w:right="19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12.3.До 22.06.2020 року узагальнити наказом по школі підсумки успішності та руху учнів за 2019/2020 навчальний</w:t>
      </w:r>
      <w:r w:rsidRPr="003C434C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рік</w:t>
      </w:r>
      <w:r w:rsidRPr="003C434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підсумкових контрольних робіт за ІІ семестр;</w:t>
      </w:r>
    </w:p>
    <w:p w:rsidR="003C434C" w:rsidRPr="003C434C" w:rsidRDefault="003C434C" w:rsidP="003C434C">
      <w:pPr>
        <w:widowControl w:val="0"/>
        <w:tabs>
          <w:tab w:val="left" w:pos="816"/>
        </w:tabs>
        <w:autoSpaceDE w:val="0"/>
        <w:autoSpaceDN w:val="0"/>
        <w:spacing w:after="0"/>
        <w:ind w:left="113" w:right="62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12.4.Після складання зовнішнього незалежного оцінювання учнями</w:t>
      </w:r>
    </w:p>
    <w:p w:rsidR="003C434C" w:rsidRPr="003C434C" w:rsidRDefault="003C434C" w:rsidP="003C434C">
      <w:pPr>
        <w:widowControl w:val="0"/>
        <w:tabs>
          <w:tab w:val="left" w:pos="816"/>
        </w:tabs>
        <w:autoSpaceDE w:val="0"/>
        <w:autoSpaceDN w:val="0"/>
        <w:spacing w:after="0"/>
        <w:ind w:left="113" w:right="62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>11 класу узагальнити (наказом по школі) результати складання ЗНО, ДПА випускниками старшої школи.</w:t>
      </w:r>
    </w:p>
    <w:p w:rsidR="003C434C" w:rsidRPr="003C434C" w:rsidRDefault="003C434C" w:rsidP="003C434C">
      <w:pPr>
        <w:widowControl w:val="0"/>
        <w:tabs>
          <w:tab w:val="left" w:pos="535"/>
        </w:tabs>
        <w:autoSpaceDE w:val="0"/>
        <w:autoSpaceDN w:val="0"/>
        <w:spacing w:after="0"/>
        <w:ind w:right="145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  13. Наказ довести до відома педагогічних працівників, учнів</w:t>
      </w:r>
    </w:p>
    <w:p w:rsidR="003C434C" w:rsidRPr="003C434C" w:rsidRDefault="003C434C" w:rsidP="003C434C">
      <w:pPr>
        <w:widowControl w:val="0"/>
        <w:tabs>
          <w:tab w:val="left" w:pos="535"/>
        </w:tabs>
        <w:autoSpaceDE w:val="0"/>
        <w:autoSpaceDN w:val="0"/>
        <w:spacing w:after="0"/>
        <w:ind w:right="145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>та їх батьків. Оприлюднити на сайті</w:t>
      </w:r>
      <w:r w:rsidRPr="003C434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закладу.</w:t>
      </w: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34C">
        <w:rPr>
          <w:rFonts w:ascii="Times New Roman" w:eastAsia="Times New Roman" w:hAnsi="Times New Roman" w:cs="Times New Roman"/>
          <w:sz w:val="28"/>
          <w:lang w:val="uk-UA"/>
        </w:rPr>
        <w:t xml:space="preserve">     14. Контроль за виконанням даного наказу залишаю за</w:t>
      </w:r>
      <w:r w:rsidRPr="003C434C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3C434C">
        <w:rPr>
          <w:rFonts w:ascii="Times New Roman" w:eastAsia="Times New Roman" w:hAnsi="Times New Roman" w:cs="Times New Roman"/>
          <w:sz w:val="28"/>
          <w:lang w:val="uk-UA"/>
        </w:rPr>
        <w:t>собою.</w:t>
      </w: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школи</w:t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3C43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С.О.Булавчук</w:t>
      </w:r>
      <w:proofErr w:type="spellEnd"/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Додаток 2</w:t>
      </w: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до наказу по школі</w:t>
      </w:r>
      <w:r w:rsidRPr="003C434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від 21.04.2020 №44</w:t>
      </w: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Порядок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здійснення підсумкового оцінювання у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Штунській</w:t>
      </w:r>
      <w:proofErr w:type="spellEnd"/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загальноосвітній  школі І-ІІІ ступенів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1. Загальна частина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1. Порядок здійснення підсумкового оцінювання (далі Порядок) визначає проведення тематичних, семестрового (ІІ семестр) та річного оцінювань в умовах здійснення дистанційного навчання учнів 1-11 класів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Любомльського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ЗЗСО І-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ІІІст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№2.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Даний порядок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складено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основі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викладених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Листі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освіти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ідсумкового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організованого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завершення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2019-2020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року» № 1/9-213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квітня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року.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3.Оцінювання є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невід'ємною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частиною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процесу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є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винятком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1-2-х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початкової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школи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формувальне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ідсумкове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3-4-х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початкової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школи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базової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проф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ільної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школи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поточне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формувальне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підсумкове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тематичне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семестрове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річне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може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здійснюватись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синхронному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асинхронному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режимі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Платформа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Googleclassroom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закладом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змогу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проводити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обох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режимах.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Синхронний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режим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дозволяє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більш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об'єктивне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проте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вимагає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ічного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всіх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Залишається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ризик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технічних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збоїв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під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окремими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слід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індивідуальний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підхід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повторного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тесту (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тощо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2. Поточне та формувальне оцінювання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1. Поточне оцінювання здійснюється на основі оцінок при проведені дистанційного навчання через платформу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Google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Classroom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Viber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чи інші засоби.</w:t>
      </w:r>
    </w:p>
    <w:p w:rsidR="003C434C" w:rsidRPr="003C434C" w:rsidRDefault="003C434C" w:rsidP="003C434C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2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.Основною метою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умовах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не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перевірка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контроль, 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зворотного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зв'язку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Міністерство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освіти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щоденного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процесу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надавати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іоритет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поточному, 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формувальному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оцінюванню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підтримки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коригування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засобів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методів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випадку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виявлення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неефективності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самостійних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мають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використовуватися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відзначення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успіхів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аналізу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помилок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подальшої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опанування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умовах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3. Підсумкове оцінювання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У ІІ семестрі 20119/2020 навчального року підсумкове оцінювання (тематичне, семестрове та річне) буде здійснено віддалено, із використанням платформи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Google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Classroom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Viber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чи інші засоби.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івних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всіма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29.04.2020 р. 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погодженні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вчителями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складено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графік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підсумкових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ІІ семестр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протягом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травня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року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предметів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Змі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охопити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матеріал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вивчений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12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березня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року.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великої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кількості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тижневих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годин з предмету (три і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більше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може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запланувати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більше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одну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-дві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роботу.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проводити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синхронному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режимі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Графік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розміщується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сайті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закладу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класним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групі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Vi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вег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Класний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керівник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отримати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зворотній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зв'язок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усіх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графіком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наявності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ічної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надіслати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Якщо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хтось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синхронному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режимі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через платформи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Google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Classroom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Viber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 повинен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повідомити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керівника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такому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випадку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інш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спосіб надати завдання для виконання контрольних робіт.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обов’язкові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всіма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як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долучались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платформі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Google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Classroom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учителі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складають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усіх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предметів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плану.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мають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охопити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матеріал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який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вивчався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ід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15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травня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повинен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надіслати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класному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керівнику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класний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керівник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надсилає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(батькам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Viber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емайл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засобом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поштового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зв'язку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інший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спосіб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зобов’язані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повернути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виконані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(фото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виконаних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робіт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класному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керівнику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вчителю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29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травня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року. Так само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готуються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надсилаються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учнів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долучились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платформі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Google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Classroom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(є 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списку) та не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надіслали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жодної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мають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жодної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поточної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оцінки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 результатами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виставляється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ТЕМАТИЧНА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оцінка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виводиться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якщо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проводилась), поточного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наявних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оцінок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темі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журналі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12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березня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великої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кількості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тижневих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годин з предмету (три і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більше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вчитель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може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запланувати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більше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одну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тематичну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дистанційне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навчання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10. Підсумкова оцінка за ІІ семестр виставляється з урахуванням результатів тематичного оцінювання, оцінювання різних видів мовленнєвої діяльності, отриманих учнями під час дистанційного навчання та до його початку. </w:t>
      </w:r>
    </w:p>
    <w:p w:rsidR="003C434C" w:rsidRPr="003C434C" w:rsidRDefault="003C434C" w:rsidP="003C4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3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11</w:t>
      </w:r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ічна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оцінка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виставляється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семестрового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(І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>семестри</w:t>
      </w:r>
      <w:proofErr w:type="spellEnd"/>
      <w:r w:rsidRPr="003C4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3C434C" w:rsidRPr="003C434C" w:rsidRDefault="003C434C" w:rsidP="003C434C">
      <w:pPr>
        <w:jc w:val="both"/>
        <w:rPr>
          <w:rFonts w:ascii="Times New Roman" w:eastAsia="Calibri" w:hAnsi="Times New Roman" w:cs="Times New Roman"/>
        </w:rPr>
      </w:pPr>
    </w:p>
    <w:p w:rsidR="003C434C" w:rsidRPr="003C434C" w:rsidRDefault="003C434C" w:rsidP="003C4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434C" w:rsidRPr="003C434C" w:rsidRDefault="003C434C" w:rsidP="003C43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3C434C">
        <w:rPr>
          <w:rFonts w:ascii="Times New Roman" w:eastAsia="Times New Roman" w:hAnsi="Times New Roman" w:cs="Times New Roman"/>
          <w:lang w:val="uk-UA"/>
        </w:rPr>
        <w:t xml:space="preserve">               </w:t>
      </w:r>
    </w:p>
    <w:p w:rsidR="003C434C" w:rsidRPr="003C434C" w:rsidRDefault="003C434C" w:rsidP="003C43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C434C" w:rsidRPr="003C434C" w:rsidRDefault="003C434C" w:rsidP="003C434C">
      <w:pPr>
        <w:spacing w:after="0"/>
        <w:jc w:val="both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both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</w:t>
      </w:r>
      <w:proofErr w:type="spellStart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Додаток</w:t>
      </w:r>
      <w:proofErr w:type="spellEnd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3</w:t>
      </w:r>
    </w:p>
    <w:p w:rsidR="003C434C" w:rsidRPr="003C434C" w:rsidRDefault="003C434C" w:rsidP="003C434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до наказу </w:t>
      </w:r>
      <w:proofErr w:type="gramStart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</w:t>
      </w:r>
      <w:proofErr w:type="gramEnd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школі</w:t>
      </w:r>
      <w:proofErr w:type="spellEnd"/>
    </w:p>
    <w:p w:rsidR="003C434C" w:rsidRPr="003C434C" w:rsidRDefault="003C434C" w:rsidP="003C434C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від</w:t>
      </w:r>
      <w:proofErr w:type="spellEnd"/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21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4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.2020р.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№  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44</w:t>
      </w:r>
      <w:r w:rsidRPr="003C43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Графік</w:t>
      </w:r>
    </w:p>
    <w:tbl>
      <w:tblPr>
        <w:tblStyle w:val="1"/>
        <w:tblpPr w:leftFromText="180" w:rightFromText="180" w:vertAnchor="text" w:horzAnchor="margin" w:tblpXSpec="center" w:tblpY="525"/>
        <w:tblW w:w="10469" w:type="dxa"/>
        <w:tblInd w:w="0" w:type="dxa"/>
        <w:tblLook w:val="01E0" w:firstRow="1" w:lastRow="1" w:firstColumn="1" w:lastColumn="1" w:noHBand="0" w:noVBand="0"/>
      </w:tblPr>
      <w:tblGrid>
        <w:gridCol w:w="2669"/>
        <w:gridCol w:w="410"/>
        <w:gridCol w:w="643"/>
        <w:gridCol w:w="666"/>
        <w:gridCol w:w="684"/>
        <w:gridCol w:w="685"/>
        <w:gridCol w:w="703"/>
        <w:gridCol w:w="682"/>
        <w:gridCol w:w="825"/>
        <w:gridCol w:w="829"/>
        <w:gridCol w:w="833"/>
        <w:gridCol w:w="840"/>
      </w:tblGrid>
      <w:tr w:rsidR="003C434C" w:rsidRPr="003C434C" w:rsidTr="001B01DC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4C">
              <w:rPr>
                <w:b/>
                <w:sz w:val="24"/>
                <w:szCs w:val="24"/>
                <w:lang w:val="uk-UA"/>
              </w:rPr>
              <w:t>Предмет/ клас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b/>
                <w:lang w:val="uk-UA"/>
              </w:rPr>
            </w:pPr>
            <w:r w:rsidRPr="003C434C">
              <w:rPr>
                <w:b/>
                <w:lang w:val="uk-UA"/>
              </w:rPr>
              <w:t>11</w:t>
            </w: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Українська мова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rPr>
                <w:lang w:val="uk-UA"/>
              </w:rPr>
            </w:pPr>
          </w:p>
          <w:p w:rsidR="003C434C" w:rsidRPr="003C434C" w:rsidRDefault="003C434C" w:rsidP="003C434C">
            <w:pPr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26.05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18.05.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Українська література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21.05.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25.05</w:t>
            </w: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Зарубіжна література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rPr>
                <w:lang w:val="uk-UA"/>
              </w:rPr>
            </w:pPr>
            <w:r w:rsidRPr="003C434C">
              <w:rPr>
                <w:lang w:val="uk-UA"/>
              </w:rPr>
              <w:t>19.05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20.05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rPr>
                <w:color w:val="FF0000"/>
                <w:lang w:val="uk-UA"/>
              </w:rPr>
            </w:pPr>
          </w:p>
        </w:tc>
      </w:tr>
      <w:tr w:rsidR="003C434C" w:rsidRPr="003C434C" w:rsidTr="001B01DC">
        <w:trPr>
          <w:trHeight w:val="46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Іноземна(</w:t>
            </w:r>
            <w:proofErr w:type="spellStart"/>
            <w:r w:rsidRPr="003C434C">
              <w:rPr>
                <w:lang w:val="uk-UA"/>
              </w:rPr>
              <w:t>англ</w:t>
            </w:r>
            <w:proofErr w:type="spellEnd"/>
            <w:r w:rsidRPr="003C434C">
              <w:rPr>
                <w:lang w:val="uk-UA"/>
              </w:rPr>
              <w:t>..мова)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25.05</w:t>
            </w: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25.05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20.05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Історія України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14.05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24.05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Всесвітня історія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14.05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20.05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Громадянська освіта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25.05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24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Математика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19.05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Алгебра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20.05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Геометрія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13.05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18.05</w:t>
            </w: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Природознавство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Географія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25.05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12.05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Фізика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15.05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07.05</w:t>
            </w: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Біологія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26.05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27.05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25.05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Хімія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both"/>
              <w:rPr>
                <w:lang w:val="uk-UA"/>
              </w:rPr>
            </w:pPr>
            <w:r w:rsidRPr="003C434C">
              <w:rPr>
                <w:lang w:val="uk-UA"/>
              </w:rPr>
              <w:t>13.05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26.05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23.05</w:t>
            </w: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Основи здоров'я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18.05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20.05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Інформатика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21.05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19.05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26.05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</w:tr>
      <w:tr w:rsidR="003C434C" w:rsidRPr="003C434C" w:rsidTr="001B01DC">
        <w:trPr>
          <w:trHeight w:val="4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Астрономія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14.05</w:t>
            </w:r>
          </w:p>
        </w:tc>
      </w:tr>
      <w:tr w:rsidR="003C434C" w:rsidRPr="003C434C" w:rsidTr="001B01DC">
        <w:trPr>
          <w:trHeight w:val="5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Мистецтво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22.05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  <w:r w:rsidRPr="003C434C">
              <w:rPr>
                <w:lang w:val="uk-UA"/>
              </w:rPr>
              <w:t>19.05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C" w:rsidRPr="003C434C" w:rsidRDefault="003C434C" w:rsidP="003C434C">
            <w:pPr>
              <w:jc w:val="center"/>
              <w:rPr>
                <w:lang w:val="uk-UA"/>
              </w:rPr>
            </w:pPr>
          </w:p>
        </w:tc>
      </w:tr>
    </w:tbl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підсумкового оцінювання учнів 3–11 класів на 2019-2020 </w:t>
      </w:r>
      <w:proofErr w:type="spellStart"/>
      <w:r w:rsidRPr="003C4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3C4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C434C" w:rsidRPr="003C434C" w:rsidRDefault="003C434C" w:rsidP="003C4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C434C" w:rsidRPr="003C434C" w:rsidRDefault="003C434C" w:rsidP="003C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C434C" w:rsidRPr="003C434C" w:rsidRDefault="003C434C" w:rsidP="003C434C">
      <w:pPr>
        <w:spacing w:after="0"/>
        <w:jc w:val="center"/>
        <w:outlineLvl w:val="0"/>
        <w:rPr>
          <w:rFonts w:ascii="Times New Roman" w:eastAsia="Times New Roman" w:hAnsi="Times New Roman" w:cs="Times New Roman"/>
          <w:noProof/>
          <w:lang w:val="uk-UA" w:eastAsia="uk-UA"/>
        </w:rPr>
      </w:pPr>
    </w:p>
    <w:p w:rsidR="003E04F7" w:rsidRPr="003C434C" w:rsidRDefault="003E04F7">
      <w:pPr>
        <w:rPr>
          <w:lang w:val="uk-UA"/>
        </w:rPr>
      </w:pPr>
    </w:p>
    <w:sectPr w:rsidR="003E04F7" w:rsidRPr="003C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4F50"/>
    <w:multiLevelType w:val="hybridMultilevel"/>
    <w:tmpl w:val="7BFA904E"/>
    <w:lvl w:ilvl="0" w:tplc="87706912">
      <w:start w:val="1"/>
      <w:numFmt w:val="decimal"/>
      <w:lvlText w:val="%1."/>
      <w:lvlJc w:val="left"/>
      <w:pPr>
        <w:ind w:left="25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9CD66E">
      <w:numFmt w:val="none"/>
      <w:lvlText w:val=""/>
      <w:lvlJc w:val="left"/>
      <w:pPr>
        <w:tabs>
          <w:tab w:val="num" w:pos="360"/>
        </w:tabs>
      </w:pPr>
    </w:lvl>
    <w:lvl w:ilvl="2" w:tplc="F984D374">
      <w:numFmt w:val="bullet"/>
      <w:lvlText w:val="•"/>
      <w:lvlJc w:val="left"/>
      <w:pPr>
        <w:ind w:left="600" w:hanging="493"/>
      </w:pPr>
      <w:rPr>
        <w:rFonts w:hint="default"/>
        <w:lang w:val="uk-UA" w:eastAsia="en-US" w:bidi="ar-SA"/>
      </w:rPr>
    </w:lvl>
    <w:lvl w:ilvl="3" w:tplc="BE682DA8">
      <w:numFmt w:val="bullet"/>
      <w:lvlText w:val="•"/>
      <w:lvlJc w:val="left"/>
      <w:pPr>
        <w:ind w:left="740" w:hanging="493"/>
      </w:pPr>
      <w:rPr>
        <w:rFonts w:hint="default"/>
        <w:lang w:val="uk-UA" w:eastAsia="en-US" w:bidi="ar-SA"/>
      </w:rPr>
    </w:lvl>
    <w:lvl w:ilvl="4" w:tplc="E438C074">
      <w:numFmt w:val="bullet"/>
      <w:lvlText w:val="•"/>
      <w:lvlJc w:val="left"/>
      <w:pPr>
        <w:ind w:left="2123" w:hanging="493"/>
      </w:pPr>
      <w:rPr>
        <w:rFonts w:hint="default"/>
        <w:lang w:val="uk-UA" w:eastAsia="en-US" w:bidi="ar-SA"/>
      </w:rPr>
    </w:lvl>
    <w:lvl w:ilvl="5" w:tplc="C666F266">
      <w:numFmt w:val="bullet"/>
      <w:lvlText w:val="•"/>
      <w:lvlJc w:val="left"/>
      <w:pPr>
        <w:ind w:left="3507" w:hanging="493"/>
      </w:pPr>
      <w:rPr>
        <w:rFonts w:hint="default"/>
        <w:lang w:val="uk-UA" w:eastAsia="en-US" w:bidi="ar-SA"/>
      </w:rPr>
    </w:lvl>
    <w:lvl w:ilvl="6" w:tplc="E27AF14A">
      <w:numFmt w:val="bullet"/>
      <w:lvlText w:val="•"/>
      <w:lvlJc w:val="left"/>
      <w:pPr>
        <w:ind w:left="4891" w:hanging="493"/>
      </w:pPr>
      <w:rPr>
        <w:rFonts w:hint="default"/>
        <w:lang w:val="uk-UA" w:eastAsia="en-US" w:bidi="ar-SA"/>
      </w:rPr>
    </w:lvl>
    <w:lvl w:ilvl="7" w:tplc="6A6AE0FA">
      <w:numFmt w:val="bullet"/>
      <w:lvlText w:val="•"/>
      <w:lvlJc w:val="left"/>
      <w:pPr>
        <w:ind w:left="6275" w:hanging="493"/>
      </w:pPr>
      <w:rPr>
        <w:rFonts w:hint="default"/>
        <w:lang w:val="uk-UA" w:eastAsia="en-US" w:bidi="ar-SA"/>
      </w:rPr>
    </w:lvl>
    <w:lvl w:ilvl="8" w:tplc="975E83F8">
      <w:numFmt w:val="bullet"/>
      <w:lvlText w:val="•"/>
      <w:lvlJc w:val="left"/>
      <w:pPr>
        <w:ind w:left="7658" w:hanging="49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3"/>
    <w:rsid w:val="003C434C"/>
    <w:rsid w:val="003E04F7"/>
    <w:rsid w:val="008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C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C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C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C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2020-06-02T17:01:00Z</dcterms:created>
  <dcterms:modified xsi:type="dcterms:W3CDTF">2020-06-02T17:02:00Z</dcterms:modified>
</cp:coreProperties>
</file>