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24" w:rsidRPr="00605324" w:rsidRDefault="00605324" w:rsidP="00811BCF">
      <w:pPr>
        <w:shd w:val="clear" w:color="auto" w:fill="FFFFFF" w:themeFill="background1"/>
        <w:spacing w:before="277" w:after="138" w:line="240" w:lineRule="auto"/>
        <w:jc w:val="center"/>
        <w:outlineLvl w:val="0"/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</w:pPr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Порядок </w:t>
      </w:r>
      <w:proofErr w:type="spell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і</w:t>
      </w:r>
      <w:proofErr w:type="spell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</w:t>
      </w:r>
      <w:proofErr w:type="spell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умови</w:t>
      </w:r>
      <w:proofErr w:type="spell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</w:t>
      </w:r>
      <w:proofErr w:type="spell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проведення</w:t>
      </w:r>
      <w:proofErr w:type="spell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конкурсу </w:t>
      </w:r>
      <w:proofErr w:type="gram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на</w:t>
      </w:r>
      <w:proofErr w:type="gram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</w:t>
      </w:r>
      <w:proofErr w:type="spellStart"/>
      <w:proofErr w:type="gram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зам</w:t>
      </w:r>
      <w:proofErr w:type="gram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іщення</w:t>
      </w:r>
      <w:proofErr w:type="spell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</w:t>
      </w:r>
      <w:proofErr w:type="spellStart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>вакантних</w:t>
      </w:r>
      <w:proofErr w:type="spellEnd"/>
      <w:r w:rsidRPr="00605324">
        <w:rPr>
          <w:rFonts w:ascii="Helvetica Neue" w:eastAsia="Times New Roman" w:hAnsi="Helvetica Neue" w:cs="Times New Roman"/>
          <w:kern w:val="36"/>
          <w:sz w:val="50"/>
          <w:szCs w:val="50"/>
          <w:lang w:eastAsia="ru-RU"/>
        </w:rPr>
        <w:t xml:space="preserve"> посад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ru-RU"/>
        </w:rPr>
      </w:pPr>
      <w:r w:rsidRPr="00605324">
        <w:rPr>
          <w:rFonts w:ascii="Helvetica Neue" w:eastAsia="Times New Roman" w:hAnsi="Helvetica Neue" w:cs="Times New Roman"/>
          <w:sz w:val="19"/>
          <w:szCs w:val="19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proofErr w:type="spellStart"/>
      <w:r w:rsidRPr="00605324">
        <w:rPr>
          <w:rFonts w:ascii="Helvetica Neue" w:eastAsia="Times New Roman" w:hAnsi="Helvetica Neue" w:cs="Times New Roman"/>
          <w:sz w:val="28"/>
          <w:szCs w:val="28"/>
          <w:lang w:val="uk-UA" w:eastAsia="ru-RU"/>
        </w:rPr>
        <w:t>Шепарівцівська</w:t>
      </w:r>
      <w:proofErr w:type="spellEnd"/>
      <w:r w:rsidRPr="00605324">
        <w:rPr>
          <w:rFonts w:ascii="Helvetica Neue" w:eastAsia="Times New Roman" w:hAnsi="Helvetica Neue" w:cs="Times New Roman"/>
          <w:sz w:val="28"/>
          <w:szCs w:val="28"/>
          <w:lang w:val="uk-UA" w:eastAsia="ru-RU"/>
        </w:rPr>
        <w:t xml:space="preserve"> гімназія 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val="uk-UA" w:eastAsia="ru-RU"/>
        </w:rPr>
        <w:t>Коломийської міської ради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val="uk-UA" w:eastAsia="ru-RU"/>
        </w:rPr>
        <w:t>Івано-Франківської області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 А К А </w:t>
      </w:r>
      <w:proofErr w:type="gram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с.Шепарівці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№ 84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b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працевлаштування</w:t>
      </w:r>
      <w:proofErr w:type="spellEnd"/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b/>
          <w:sz w:val="28"/>
          <w:szCs w:val="28"/>
          <w:lang w:val="uk-UA" w:eastAsia="ru-RU"/>
        </w:rPr>
      </w:pPr>
      <w:r w:rsidRPr="0060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05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педагогічних працівників у закладі</w:t>
      </w:r>
    </w:p>
    <w:p w:rsidR="00605324" w:rsidRDefault="00605324" w:rsidP="006053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</w:t>
      </w:r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статті 26 Закону України «Про освіту» від 05.09.2017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забезпечення рівності громадян в реалізації права на працю, прозорості процесу прийому на роботу в заклад, використання потенціалу талановитої молоді,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605324" w:rsidRPr="00605324" w:rsidRDefault="00605324" w:rsidP="00605324">
      <w:pPr>
        <w:shd w:val="clear" w:color="auto" w:fill="FFFFFF" w:themeFill="background1"/>
        <w:tabs>
          <w:tab w:val="left" w:pos="1662"/>
        </w:tabs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ab/>
      </w:r>
    </w:p>
    <w:p w:rsidR="00605324" w:rsidRPr="00605324" w:rsidRDefault="00605324" w:rsidP="006053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605324" w:rsidRPr="00605324" w:rsidRDefault="00605324" w:rsidP="006053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426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Голова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Павлюк Ігор Васильович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закладу;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2835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Далибожик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Лілія Василівна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2410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2410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Олегівна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заступник директора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2410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2410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720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     Директор   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імназії: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І.В.Павлюк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right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right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right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right"/>
        <w:rPr>
          <w:rFonts w:ascii="Helvetica Neue" w:eastAsia="Times New Roman" w:hAnsi="Helvetica Neue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працевлаштування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</w:t>
      </w:r>
      <w:proofErr w:type="gram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center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Шепарівцівську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гімназію Коломийської міської ради</w:t>
      </w:r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5324" w:rsidRPr="00605324" w:rsidRDefault="00605324" w:rsidP="0060532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Кодексу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року № 778,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комплектування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кадрами.</w:t>
      </w:r>
    </w:p>
    <w:p w:rsidR="00605324" w:rsidRPr="00605324" w:rsidRDefault="00605324" w:rsidP="00605324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конкурсу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.*</w:t>
      </w:r>
    </w:p>
    <w:p w:rsidR="00605324" w:rsidRPr="00605324" w:rsidRDefault="00605324" w:rsidP="00605324">
      <w:pPr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Прийняття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не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по закладу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секретаря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ind w:left="709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* «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переводу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закладу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сумісництвом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вивільнені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конкурсу.</w:t>
      </w:r>
    </w:p>
    <w:p w:rsidR="00605324" w:rsidRPr="00605324" w:rsidRDefault="00605324" w:rsidP="00605324">
      <w:pPr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-142"/>
        </w:tabs>
        <w:spacing w:before="100" w:beforeAutospacing="1" w:after="100" w:afterAutospacing="1" w:line="240" w:lineRule="auto"/>
        <w:ind w:hanging="1582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заступника директора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 (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5324" w:rsidRPr="00605324" w:rsidRDefault="00605324" w:rsidP="00605324">
      <w:pPr>
        <w:numPr>
          <w:ilvl w:val="1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5324" w:rsidRPr="00605324" w:rsidRDefault="00605324" w:rsidP="00605324">
      <w:pPr>
        <w:numPr>
          <w:ilvl w:val="1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проводиться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поетапно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324" w:rsidRPr="00605324" w:rsidRDefault="00605324" w:rsidP="0060532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(в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посад»);</w:t>
      </w:r>
    </w:p>
    <w:p w:rsidR="00605324" w:rsidRPr="00605324" w:rsidRDefault="00605324" w:rsidP="0060532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324" w:rsidRPr="00605324" w:rsidRDefault="00605324" w:rsidP="0060532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конкурс.</w:t>
      </w:r>
    </w:p>
    <w:p w:rsidR="00605324" w:rsidRPr="00605324" w:rsidRDefault="00605324" w:rsidP="00605324">
      <w:pPr>
        <w:numPr>
          <w:ilvl w:val="1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посад») не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 (десять)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міститись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участь </w:t>
      </w:r>
      <w:proofErr w:type="gram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конкурсі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 (при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П-2)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3,6×4,5 см.;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324" w:rsidRPr="00605324" w:rsidRDefault="00605324" w:rsidP="00605324">
      <w:pPr>
        <w:numPr>
          <w:ilvl w:val="2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5324" w:rsidRPr="00605324" w:rsidRDefault="00605324" w:rsidP="00605324">
      <w:pPr>
        <w:numPr>
          <w:ilvl w:val="1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посаду.</w:t>
      </w:r>
    </w:p>
    <w:p w:rsidR="00605324" w:rsidRPr="00605324" w:rsidRDefault="00605324" w:rsidP="00605324">
      <w:pPr>
        <w:numPr>
          <w:ilvl w:val="1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посадах заступника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подали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до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05324" w:rsidRPr="00605324" w:rsidRDefault="00605324" w:rsidP="00605324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 та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відбі</w:t>
      </w:r>
      <w:proofErr w:type="gram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результатами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605324" w:rsidRPr="00605324" w:rsidRDefault="00605324" w:rsidP="00605324">
      <w:pPr>
        <w:numPr>
          <w:ilvl w:val="1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проводиться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заклад.</w:t>
      </w:r>
    </w:p>
    <w:p w:rsidR="00605324" w:rsidRPr="00605324" w:rsidRDefault="00605324" w:rsidP="00605324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заклад повторно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посад»).</w:t>
      </w:r>
    </w:p>
    <w:p w:rsidR="00605324" w:rsidRPr="00605324" w:rsidRDefault="00605324" w:rsidP="00605324">
      <w:pPr>
        <w:numPr>
          <w:ilvl w:val="1"/>
          <w:numId w:val="3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2/3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</w:t>
      </w:r>
    </w:p>
    <w:p w:rsidR="00605324" w:rsidRPr="00605324" w:rsidRDefault="00605324" w:rsidP="00605324">
      <w:pPr>
        <w:numPr>
          <w:ilvl w:val="1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вирішальним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кандидата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посаду.</w:t>
      </w:r>
    </w:p>
    <w:p w:rsidR="00605324" w:rsidRPr="00605324" w:rsidRDefault="00605324" w:rsidP="00605324">
      <w:pPr>
        <w:numPr>
          <w:ilvl w:val="1"/>
          <w:numId w:val="3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 свою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думку. Протокол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numPr>
          <w:ilvl w:val="1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proofErr w:type="spellStart"/>
      <w:proofErr w:type="gram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оскаржене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60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605324" w:rsidRPr="00605324" w:rsidRDefault="00605324" w:rsidP="00605324">
      <w:pPr>
        <w:shd w:val="clear" w:color="auto" w:fill="FFFFFF" w:themeFill="background1"/>
        <w:spacing w:after="138" w:line="240" w:lineRule="auto"/>
        <w:rPr>
          <w:rFonts w:ascii="Helvetica Neue" w:eastAsia="Times New Roman" w:hAnsi="Helvetica Neue" w:cs="Times New Roman"/>
          <w:sz w:val="28"/>
          <w:szCs w:val="28"/>
          <w:lang w:eastAsia="ru-RU"/>
        </w:rPr>
      </w:pPr>
      <w:r w:rsidRPr="00605324">
        <w:rPr>
          <w:rFonts w:ascii="Helvetica Neue" w:eastAsia="Times New Roman" w:hAnsi="Helvetica Neue" w:cs="Times New Roman"/>
          <w:sz w:val="28"/>
          <w:szCs w:val="28"/>
          <w:lang w:eastAsia="ru-RU"/>
        </w:rPr>
        <w:t> </w:t>
      </w:r>
    </w:p>
    <w:p w:rsidR="00C13D1F" w:rsidRPr="00605324" w:rsidRDefault="00C13D1F">
      <w:pPr>
        <w:rPr>
          <w:sz w:val="28"/>
          <w:szCs w:val="28"/>
        </w:rPr>
      </w:pPr>
    </w:p>
    <w:sectPr w:rsidR="00C13D1F" w:rsidRPr="00605324" w:rsidSect="00C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07"/>
    <w:multiLevelType w:val="multilevel"/>
    <w:tmpl w:val="FF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97B"/>
    <w:multiLevelType w:val="multilevel"/>
    <w:tmpl w:val="6694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FD7"/>
    <w:multiLevelType w:val="multilevel"/>
    <w:tmpl w:val="FB30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26D"/>
    <w:multiLevelType w:val="multilevel"/>
    <w:tmpl w:val="88F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61DDC"/>
    <w:multiLevelType w:val="multilevel"/>
    <w:tmpl w:val="4BD4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83C50"/>
    <w:multiLevelType w:val="multilevel"/>
    <w:tmpl w:val="1D5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9EF"/>
    <w:multiLevelType w:val="multilevel"/>
    <w:tmpl w:val="39B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81F6B"/>
    <w:multiLevelType w:val="multilevel"/>
    <w:tmpl w:val="19C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3"/>
    </w:lvlOverride>
  </w:num>
  <w:num w:numId="3">
    <w:abstractNumId w:val="4"/>
  </w:num>
  <w:num w:numId="4">
    <w:abstractNumId w:val="4"/>
    <w:lvlOverride w:ilvl="1">
      <w:startOverride w:val="1"/>
    </w:lvlOverride>
  </w:num>
  <w:num w:numId="5">
    <w:abstractNumId w:val="4"/>
    <w:lvlOverride w:ilvl="1">
      <w:startOverride w:val="1"/>
    </w:lvlOverride>
  </w:num>
  <w:num w:numId="6">
    <w:abstractNumId w:val="4"/>
    <w:lvlOverride w:ilvl="1">
      <w:startOverride w:val="1"/>
    </w:lvlOverride>
  </w:num>
  <w:num w:numId="7">
    <w:abstractNumId w:val="4"/>
    <w:lvlOverride w:ilvl="1">
      <w:startOverride w:val="1"/>
    </w:lvlOverride>
  </w:num>
  <w:num w:numId="8">
    <w:abstractNumId w:val="4"/>
    <w:lvlOverride w:ilvl="1">
      <w:startOverride w:val="1"/>
    </w:lvlOverride>
  </w:num>
  <w:num w:numId="9">
    <w:abstractNumId w:val="4"/>
    <w:lvlOverride w:ilvl="1">
      <w:startOverride w:val="1"/>
    </w:lvlOverride>
  </w:num>
  <w:num w:numId="10">
    <w:abstractNumId w:val="4"/>
    <w:lvlOverride w:ilvl="1">
      <w:startOverride w:val="1"/>
    </w:lvlOverride>
  </w:num>
  <w:num w:numId="11">
    <w:abstractNumId w:val="7"/>
    <w:lvlOverride w:ilvl="0">
      <w:startOverride w:val="2"/>
    </w:lvlOverride>
  </w:num>
  <w:num w:numId="12">
    <w:abstractNumId w:val="7"/>
    <w:lvlOverride w:ilvl="0"/>
    <w:lvlOverride w:ilvl="1">
      <w:startOverride w:val="2"/>
    </w:lvlOverride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/>
    <w:lvlOverride w:ilvl="1">
      <w:startOverride w:val="2"/>
    </w:lvlOverride>
  </w:num>
  <w:num w:numId="15">
    <w:abstractNumId w:val="7"/>
    <w:lvlOverride w:ilvl="0"/>
    <w:lvlOverride w:ilvl="1">
      <w:startOverride w:val="2"/>
    </w:lvlOverride>
  </w:num>
  <w:num w:numId="16">
    <w:abstractNumId w:val="5"/>
  </w:num>
  <w:num w:numId="17">
    <w:abstractNumId w:val="2"/>
    <w:lvlOverride w:ilvl="0">
      <w:startOverride w:val="3"/>
    </w:lvlOverride>
  </w:num>
  <w:num w:numId="18">
    <w:abstractNumId w:val="2"/>
    <w:lvlOverride w:ilvl="0"/>
    <w:lvlOverride w:ilvl="1">
      <w:startOverride w:val="3"/>
    </w:lvlOverride>
  </w:num>
  <w:num w:numId="19">
    <w:abstractNumId w:val="2"/>
    <w:lvlOverride w:ilvl="0"/>
    <w:lvlOverride w:ilvl="1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/>
    <w:lvlOverride w:ilvl="1">
      <w:startOverride w:val="4"/>
    </w:lvlOverride>
  </w:num>
  <w:num w:numId="22">
    <w:abstractNumId w:val="1"/>
    <w:lvlOverride w:ilvl="0"/>
    <w:lvlOverride w:ilvl="1">
      <w:startOverride w:val="4"/>
    </w:lvlOverride>
  </w:num>
  <w:num w:numId="23">
    <w:abstractNumId w:val="1"/>
    <w:lvlOverride w:ilvl="0"/>
    <w:lvlOverride w:ilvl="1">
      <w:startOverride w:val="4"/>
    </w:lvlOverride>
  </w:num>
  <w:num w:numId="24">
    <w:abstractNumId w:val="1"/>
    <w:lvlOverride w:ilvl="0"/>
    <w:lvlOverride w:ilvl="1">
      <w:startOverride w:val="4"/>
    </w:lvlOverride>
  </w:num>
  <w:num w:numId="25">
    <w:abstractNumId w:val="1"/>
    <w:lvlOverride w:ilvl="0"/>
    <w:lvlOverride w:ilvl="1">
      <w:startOverride w:val="4"/>
    </w:lvlOverride>
  </w:num>
  <w:num w:numId="26">
    <w:abstractNumId w:val="1"/>
    <w:lvlOverride w:ilvl="0"/>
    <w:lvlOverride w:ilvl="1">
      <w:startOverride w:val="4"/>
    </w:lvlOverride>
  </w:num>
  <w:num w:numId="27">
    <w:abstractNumId w:val="0"/>
    <w:lvlOverride w:ilvl="0">
      <w:startOverride w:val="5"/>
    </w:lvlOverride>
  </w:num>
  <w:num w:numId="28">
    <w:abstractNumId w:val="0"/>
    <w:lvlOverride w:ilvl="0"/>
    <w:lvlOverride w:ilvl="1">
      <w:startOverride w:val="5"/>
    </w:lvlOverride>
  </w:num>
  <w:num w:numId="29">
    <w:abstractNumId w:val="0"/>
    <w:lvlOverride w:ilvl="0"/>
    <w:lvlOverride w:ilvl="1">
      <w:startOverride w:val="5"/>
    </w:lvlOverride>
  </w:num>
  <w:num w:numId="30">
    <w:abstractNumId w:val="0"/>
    <w:lvlOverride w:ilvl="0"/>
    <w:lvlOverride w:ilvl="1">
      <w:startOverride w:val="5"/>
    </w:lvlOverride>
  </w:num>
  <w:num w:numId="31">
    <w:abstractNumId w:val="0"/>
    <w:lvlOverride w:ilvl="0"/>
    <w:lvlOverride w:ilvl="1">
      <w:startOverride w:val="5"/>
    </w:lvlOverride>
  </w:num>
  <w:num w:numId="32">
    <w:abstractNumId w:val="0"/>
    <w:lvlOverride w:ilvl="0"/>
    <w:lvlOverride w:ilvl="1">
      <w:startOverride w:val="5"/>
    </w:lvlOverride>
  </w:num>
  <w:num w:numId="33">
    <w:abstractNumId w:val="0"/>
    <w:lvlOverride w:ilvl="0"/>
    <w:lvlOverride w:ilvl="1">
      <w:startOverride w:val="5"/>
    </w:lvlOverride>
  </w:num>
  <w:num w:numId="34">
    <w:abstractNumId w:val="0"/>
    <w:lvlOverride w:ilvl="0"/>
    <w:lvlOverride w:ilvl="1">
      <w:startOverride w:val="5"/>
    </w:lvlOverride>
  </w:num>
  <w:num w:numId="35">
    <w:abstractNumId w:val="0"/>
    <w:lvlOverride w:ilvl="0"/>
    <w:lvlOverride w:ilvl="1">
      <w:startOverride w:val="5"/>
    </w:lvlOverride>
  </w:num>
  <w:num w:numId="36">
    <w:abstractNumId w:val="0"/>
    <w:lvlOverride w:ilvl="0"/>
    <w:lvlOverride w:ilvl="1">
      <w:startOverride w:val="5"/>
    </w:lvlOverride>
  </w:num>
  <w:num w:numId="37">
    <w:abstractNumId w:val="0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5324"/>
    <w:rsid w:val="00605324"/>
    <w:rsid w:val="00811BCF"/>
    <w:rsid w:val="00C1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F"/>
  </w:style>
  <w:style w:type="paragraph" w:styleId="1">
    <w:name w:val="heading 1"/>
    <w:basedOn w:val="a"/>
    <w:link w:val="10"/>
    <w:uiPriority w:val="9"/>
    <w:qFormat/>
    <w:rsid w:val="0060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3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Tatiyana</cp:lastModifiedBy>
  <cp:revision>2</cp:revision>
  <dcterms:created xsi:type="dcterms:W3CDTF">2020-07-16T12:16:00Z</dcterms:created>
  <dcterms:modified xsi:type="dcterms:W3CDTF">2020-07-16T12:30:00Z</dcterms:modified>
</cp:coreProperties>
</file>