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науки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спільно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Державною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установою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Інститут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змісту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Інститутом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педагогіки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педагогічних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наук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ідготували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Інструктивно-методичні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закладах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вступній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частині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методичних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рекомендацій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розглядаються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356492" w:rsidRPr="00356492" w:rsidRDefault="00356492" w:rsidP="0035649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нормативного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закладах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356492" w:rsidRPr="00356492" w:rsidRDefault="00356492" w:rsidP="00356492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структури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року,</w:t>
      </w:r>
    </w:p>
    <w:p w:rsidR="00356492" w:rsidRPr="00356492" w:rsidRDefault="00356492" w:rsidP="0035649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форм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356492" w:rsidRPr="00356492" w:rsidRDefault="00356492" w:rsidP="00356492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наповнюваності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класів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поділу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класів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групи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</w:t>
      </w:r>
    </w:p>
    <w:p w:rsidR="00356492" w:rsidRPr="00356492" w:rsidRDefault="00356492" w:rsidP="00356492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здобувачів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Методичні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психологічні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аспекти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умовах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воєнного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іслявоєнного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стану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наведені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Додатках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1 – 16.</w: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 2022/2-23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іоритетними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напрямами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діяльності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є:</w:t>
      </w:r>
    </w:p>
    <w:p w:rsidR="00356492" w:rsidRPr="00356492" w:rsidRDefault="00356492" w:rsidP="00356492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продовження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реформи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Концепції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«Нова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школа»,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впровадження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5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класах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нового Державного стандарту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56492" w:rsidRPr="00356492" w:rsidRDefault="00356492" w:rsidP="00356492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організація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ісля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вимушеного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переривання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його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звичного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перебігу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викликаного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спочатку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тривалими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карантинами,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потім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військовою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агресією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російської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федерації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території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нашої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держави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356492" w:rsidRPr="00356492" w:rsidRDefault="00356492" w:rsidP="00356492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здобувачів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умовах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поєднання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56492" w:rsidRPr="00356492" w:rsidRDefault="00356492" w:rsidP="00356492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посилення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національно-патріотичного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виховання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формування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громадянської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позиції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питань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особистої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безпеки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356492" w:rsidRPr="00356492" w:rsidRDefault="00356492" w:rsidP="00356492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психологічна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учасникам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починається</w:t>
      </w:r>
      <w:proofErr w:type="spellEnd"/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поетапне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впровадження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нового Державного стандарту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переходять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модель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розділі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методичних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рекомендаціях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впровадження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нового Державного стандарту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описується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як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розробляється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закладу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</w:t>
      </w:r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основі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Типової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структура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алгоритм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розроблення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плану.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Описується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якій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спосіб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модельні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івні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закладу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конкретизуватись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інтегрованих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Розглядаються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розроблення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календарно-тематичного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планування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Звертається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увага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доц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ільність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задля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забезпечення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наступності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початку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року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діагностування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націленого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виявлення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рівня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досягнення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учнями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обов’язкових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результатів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визначених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Державним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стандартом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початкової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рівні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4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класу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6492" w:rsidRPr="00356492" w:rsidRDefault="00356492" w:rsidP="00356492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356492">
          <w:rPr>
            <w:rFonts w:ascii="Arial" w:eastAsia="Times New Roman" w:hAnsi="Arial" w:cs="Arial"/>
            <w:color w:val="3849F9"/>
            <w:sz w:val="21"/>
            <w:lang w:eastAsia="ru-RU"/>
          </w:rPr>
          <w:t>Інструктивно-методичні</w:t>
        </w:r>
        <w:proofErr w:type="spellEnd"/>
        <w:r w:rsidRPr="00356492">
          <w:rPr>
            <w:rFonts w:ascii="Arial" w:eastAsia="Times New Roman" w:hAnsi="Arial" w:cs="Arial"/>
            <w:color w:val="3849F9"/>
            <w:sz w:val="21"/>
            <w:lang w:eastAsia="ru-RU"/>
          </w:rPr>
          <w:t xml:space="preserve"> </w:t>
        </w:r>
        <w:proofErr w:type="spellStart"/>
        <w:r w:rsidRPr="00356492">
          <w:rPr>
            <w:rFonts w:ascii="Arial" w:eastAsia="Times New Roman" w:hAnsi="Arial" w:cs="Arial"/>
            <w:color w:val="3849F9"/>
            <w:sz w:val="21"/>
            <w:lang w:eastAsia="ru-RU"/>
          </w:rPr>
          <w:t>рекомендації</w:t>
        </w:r>
        <w:proofErr w:type="spellEnd"/>
      </w:hyperlink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закладах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356492" w:rsidRPr="00356492" w:rsidRDefault="00356492" w:rsidP="00356492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Типові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модельні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для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розміщені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офіційному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веб-сайті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МОН на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сторінці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Загальна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в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рубриці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"https://mon.gov.ua/ua/osvita/zagalna-serednya-osvita/navchalni-programi" </w:instrTex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Освітні</w:t>
      </w:r>
      <w:proofErr w:type="spellEnd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програми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6492" w:rsidRPr="00356492" w:rsidRDefault="00356492" w:rsidP="00356492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Переліком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літератури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програм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грифи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«Рекомендовано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Міністерством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науки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Схвалено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використання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процесі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висновок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Схвалено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використання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загальноосвітніх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закладах»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ознайомитися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 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"https://imzo.gov.ua/pidruchniki/pereliki/" </w:instrTex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офіційному</w:t>
      </w:r>
      <w:proofErr w:type="spellEnd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сайт</w:t>
      </w:r>
      <w:proofErr w:type="gramStart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ержавної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установи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Інститут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модернізації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змісту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Державною</w:t>
      </w:r>
      <w:proofErr w:type="gram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науковою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установою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Інститут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модернізації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змісту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розроблено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Методичні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розвитку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STEM-освіти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закладах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позашкільної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356492" w:rsidRPr="00356492" w:rsidRDefault="00356492" w:rsidP="003564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Нагадаємо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МОН проводить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вебінар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ефективного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"https://mon.gov.ua/ua/news/mon-provodit-vebinar-shodo-efektivnogo-vikoristannya-zoom-education" </w:instrText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zoom</w:t>
      </w:r>
      <w:proofErr w:type="spellEnd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for</w:t>
      </w:r>
      <w:proofErr w:type="spellEnd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 xml:space="preserve"> </w:t>
      </w:r>
      <w:proofErr w:type="spellStart"/>
      <w:r w:rsidRPr="00356492">
        <w:rPr>
          <w:rFonts w:ascii="Arial" w:eastAsia="Times New Roman" w:hAnsi="Arial" w:cs="Arial"/>
          <w:color w:val="3849F9"/>
          <w:sz w:val="21"/>
          <w:lang w:eastAsia="ru-RU"/>
        </w:rPr>
        <w:t>education</w:t>
      </w:r>
      <w:proofErr w:type="spellEnd"/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356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A7C86" w:rsidRDefault="001A7C86"/>
    <w:sectPr w:rsidR="001A7C86" w:rsidSect="001A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E9B"/>
    <w:multiLevelType w:val="multilevel"/>
    <w:tmpl w:val="2B3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2E53"/>
    <w:multiLevelType w:val="multilevel"/>
    <w:tmpl w:val="B7C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957E7"/>
    <w:multiLevelType w:val="multilevel"/>
    <w:tmpl w:val="E3E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92"/>
    <w:rsid w:val="001A7C86"/>
    <w:rsid w:val="0035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metodichni-rekomendaci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2022-08-24T14:54:00Z</dcterms:created>
  <dcterms:modified xsi:type="dcterms:W3CDTF">2022-08-24T14:56:00Z</dcterms:modified>
</cp:coreProperties>
</file>