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06B" w:rsidRDefault="0052506B">
      <w:pPr>
        <w:rPr>
          <w:rFonts w:ascii="Times New Roman" w:hAnsi="Times New Roman" w:cs="Times New Roman"/>
          <w:b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sz w:val="28"/>
          <w:szCs w:val="28"/>
          <w:u w:val="double"/>
        </w:rPr>
        <w:t>8-А, 8-Б. Біологія</w:t>
      </w:r>
    </w:p>
    <w:p w:rsidR="00EF0375" w:rsidRDefault="0052506B" w:rsidP="00EF0375">
      <w:pPr>
        <w:rPr>
          <w:rFonts w:ascii="Times New Roman" w:hAnsi="Times New Roman" w:cs="Times New Roman"/>
          <w:b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sz w:val="28"/>
          <w:szCs w:val="28"/>
          <w:u w:val="double"/>
        </w:rPr>
        <w:t>Тема: Загальна характеристика сенсорних систем, їхня будова</w:t>
      </w:r>
    </w:p>
    <w:p w:rsidR="00EF0375" w:rsidRPr="00EF0375" w:rsidRDefault="00EF0375" w:rsidP="00EF0375">
      <w:pPr>
        <w:rPr>
          <w:rFonts w:ascii="Times New Roman" w:hAnsi="Times New Roman" w:cs="Times New Roman"/>
          <w:b/>
          <w:sz w:val="28"/>
          <w:szCs w:val="28"/>
          <w:u w:val="double"/>
        </w:rPr>
      </w:pPr>
      <w:r>
        <w:rPr>
          <w:rFonts w:ascii="Arial" w:eastAsia="Times New Roman" w:hAnsi="Arial" w:cs="Arial"/>
          <w:color w:val="2F2F2F"/>
          <w:sz w:val="21"/>
          <w:szCs w:val="21"/>
          <w:lang w:eastAsia="uk-UA"/>
        </w:rPr>
        <w:t xml:space="preserve">Ми безперервно отримуємо інформацію з довкілля за допомогою так званих </w:t>
      </w:r>
      <w:r w:rsidRPr="00EF0375">
        <w:rPr>
          <w:rFonts w:ascii="Arial" w:eastAsia="Times New Roman" w:hAnsi="Arial" w:cs="Arial"/>
          <w:b/>
          <w:color w:val="2F2F2F"/>
          <w:sz w:val="21"/>
          <w:szCs w:val="21"/>
          <w:lang w:eastAsia="uk-UA"/>
        </w:rPr>
        <w:t>аналізаторів</w:t>
      </w: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 </w:t>
      </w:r>
      <w:r>
        <w:rPr>
          <w:rFonts w:ascii="Arial" w:eastAsia="Times New Roman" w:hAnsi="Arial" w:cs="Arial"/>
          <w:color w:val="2F2F2F"/>
          <w:sz w:val="21"/>
          <w:szCs w:val="21"/>
          <w:lang w:eastAsia="uk-UA"/>
        </w:rPr>
        <w:t>(</w:t>
      </w:r>
      <w:r w:rsidRPr="00EF0375">
        <w:rPr>
          <w:rFonts w:ascii="Arial" w:eastAsia="Times New Roman" w:hAnsi="Arial" w:cs="Arial"/>
          <w:b/>
          <w:color w:val="2F2F2F"/>
          <w:sz w:val="21"/>
          <w:szCs w:val="21"/>
          <w:lang w:eastAsia="uk-UA"/>
        </w:rPr>
        <w:t>сенсорних систем</w:t>
      </w:r>
      <w:r>
        <w:rPr>
          <w:rFonts w:ascii="Arial" w:eastAsia="Times New Roman" w:hAnsi="Arial" w:cs="Arial"/>
          <w:color w:val="2F2F2F"/>
          <w:sz w:val="21"/>
          <w:szCs w:val="21"/>
          <w:lang w:eastAsia="uk-UA"/>
        </w:rPr>
        <w:t>).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</w:p>
    <w:tbl>
      <w:tblPr>
        <w:tblW w:w="838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6"/>
        <w:gridCol w:w="2422"/>
        <w:gridCol w:w="2234"/>
        <w:gridCol w:w="2283"/>
      </w:tblGrid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Система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Рецептори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Провідні шляхи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Мозкові центри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Зорова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Світлові (фоторецептори) сітківки очного яблука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Зоровий нерв (II пара ЧМН)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Зорова зона (потилична частка великого мозку)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Слухова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Звукові (</w:t>
            </w: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фонорецептори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) спірального </w:t>
            </w: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органа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 завитки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Слуховий нерв (в складі </w:t>
            </w: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присінково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-завиткового VIII пара ЧМН)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Слухова зона (скронева частка великого мозку)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Нюхова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Хеморецептори носової порожнини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Нюховий нерв (1 пара ЧМН)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Нюхова зона (скронева частка великого мозку)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Смакова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Хеморецептори ротової порожнини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Язико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-глотковий, язиковий, лицевий і блукаючий нерви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Смакова зона (скронева частка великого мозку)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Дотикова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Механорецептори дерми і клітковини шкіри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Спинномозкові нерви (їх чутливі волокна)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Зона шкірної чутливості (задня центральна звивина кори великого мозку)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Температурна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Терморецептори шкіри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Спинномозкові нерви (їх чутливі волокна)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Гіпоталамус, зона шкірної чутливості (задня центральна звивина великого мозку)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Больова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Больові рецептори (но </w:t>
            </w: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цицептори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) шкіри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Спинномозкові нерви (їх чутливі волокна)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Таламус, зона шкірної чутливості (задня центральна звивина кори)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Гравітаційна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Механорецептори вестибулярного апарату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Вестибулярний нерв (в складі </w:t>
            </w: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присінково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-завиткового)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Мозочок, кора великих півкуль, спинний мозок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Рухова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br/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Рухові рецептори (пропріоцептори) м'язів, суглобів, сухожилків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Спинномозкові нерви (їх чутливі волокна)</w:t>
            </w:r>
          </w:p>
        </w:tc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Рухова зона(передня центральна звивина кори великого мозку), мозочок</w:t>
            </w:r>
          </w:p>
        </w:tc>
      </w:tr>
    </w:tbl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noProof/>
          <w:color w:val="2F2F2F"/>
          <w:sz w:val="21"/>
          <w:szCs w:val="21"/>
          <w:lang w:eastAsia="uk-UA"/>
        </w:rPr>
        <w:lastRenderedPageBreak/>
        <w:drawing>
          <wp:inline distT="0" distB="0" distL="0" distR="0">
            <wp:extent cx="2905125" cy="3019425"/>
            <wp:effectExtent l="0" t="0" r="9525" b="9525"/>
            <wp:docPr id="4" name="Рисунок 4" descr="http://8next.com/uploads/fotos/7bio/bl_05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next.com/uploads/fotos/7bio/bl_058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Термін аналізатор запровадив у 1909 році російський фізіолог Іван Павлов.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uk-UA"/>
        </w:rPr>
        <w:t>СТРУКТУРА СЕНСОРНОЇ СИСТЕМИ (АНАЛІЗАТОРА): </w:t>
      </w:r>
    </w:p>
    <w:tbl>
      <w:tblPr>
        <w:tblW w:w="783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0"/>
      </w:tblGrid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Периферичний відділ.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Представлений певними видами рецепторів. 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Провідниковий відділ.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Шлях, по якому передається збудження чутливим</w:t>
            </w:r>
            <w:r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и нервами до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 ЦНС.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Центральний відділ.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Утворюють центри стовбура головного мозку та певна зона кори головного мозку, де відбувається аналіз і синтез інформації. 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noProof/>
                <w:color w:val="2F2F2F"/>
                <w:sz w:val="21"/>
                <w:szCs w:val="21"/>
                <w:lang w:eastAsia="uk-UA"/>
              </w:rPr>
              <w:lastRenderedPageBreak/>
              <w:drawing>
                <wp:inline distT="0" distB="0" distL="0" distR="0" wp14:anchorId="035A0852" wp14:editId="2FFDEF02">
                  <wp:extent cx="3629025" cy="4791075"/>
                  <wp:effectExtent l="0" t="0" r="0" b="0"/>
                  <wp:docPr id="3" name="Рисунок 3" descr="http://8next.com/uploads/fotos/7bio/bl_05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8next.com/uploads/fotos/7bio/bl_05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uk-UA"/>
        </w:rPr>
        <w:lastRenderedPageBreak/>
        <w:t>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noProof/>
          <w:color w:val="2F2F2F"/>
          <w:sz w:val="21"/>
          <w:szCs w:val="21"/>
          <w:lang w:eastAsia="uk-UA"/>
        </w:rPr>
        <w:drawing>
          <wp:inline distT="0" distB="0" distL="0" distR="0">
            <wp:extent cx="5486400" cy="2914650"/>
            <wp:effectExtent l="0" t="0" r="0" b="0"/>
            <wp:docPr id="2" name="Рисунок 2" descr="http://8next.com/uploads/fotos/7bio/bl_05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8next.com/uploads/fotos/7bio/bl_058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Приклади.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• побачивши на дорозі гострий предмет, людина його обходить;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• почувши сильний гул, закриває вуха;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• під час телефонного дзвінка вмикає мобільний телефон для розмови.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lastRenderedPageBreak/>
        <w:t>Частини аналізатора працюють як єдине ціле, причому порушення діяльності однієї з частин веде до порушення функцій всього аналізатора.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Повне ушкодження будь-якої частини аналізатора унеможливлює сприйняття певних подразнень.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uk-UA"/>
        </w:rPr>
        <w:t>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uk-UA"/>
        </w:rPr>
        <w:t>Загальні властивості сенсорних систем. </w:t>
      </w:r>
    </w:p>
    <w:tbl>
      <w:tblPr>
        <w:tblW w:w="831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0"/>
      </w:tblGrid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• Спеціалізація - здатність сприймати лише певний подразник та формувати специфічні відчуття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 (наприклад, рецептори ока — світло, рецептори вуха — звук тощо). 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• Адаптація — здатність сенсорних систем пристосовувати рівень своєї чутливості, яка може підвищуватись за відсутності дії сильного подразника чи знижуватись за тривалої дії подразника. 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При високій інтенсивності подразника чутливість організму до нього підвищується (коли людина заходить у темну кімнату, спочатку вона нічого не бачить і починає розрізняти контури предметів через певний час). 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Під час монотонної тривалої дії стимулу чутливість рецепторів до нього знижується (коли людина заходить до приміщення зі специфічним запахом,  спочатку дуже відчуває його, а потім усе менше; не відчувається дотик одягу до тіла; людина після тривалого перебування на природі спочатку дуже чутлива до шумів міста, але через певний час перестає привертати її увагу). 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Найшвидше адаптуються рецептори, що сприймають дотик до шкіри, найповільніше — рецептори м'язів, кровоносних судин і </w:t>
            </w: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легенів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.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Рецептори, що сигналізують про відчуття болю, не здатні до адаптації, тому людина не може звикнути до болю.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240" w:lineRule="auto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• Вправляння - це здатність аналізаторів підвищувати свої можливості  під впливом багаторазових вправ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, тобто «тренування» (наприклад, тренується слух у музикантів; дотик — у фахівців з мануальної медицини; відчуття смаку та запахів — у дегустаторів; фахівці-кулінари краще за людей інших професій розпізнають якість їжі; водії розрізняють за звуком працюючого двигуна його стан). М'язовий, зоровий, слуховий, нюховий та інші аналізатори можна тренувати до певної межі, що закладена спадково.</w:t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 xml:space="preserve">• Взаємодія - зв'язок аналізаторів, який реалізується через взаємодію </w:t>
            </w:r>
            <w:proofErr w:type="spellStart"/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>відчуттів</w:t>
            </w:r>
            <w:proofErr w:type="spellEnd"/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t xml:space="preserve"> на рівні кори й підкірки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 (наприклад, у концертному залі не вимикають світло, оскільки при яскравому освітленні загострюється слух, і навпаки, у ресторані світло приглушене, що зменшує смакову чутливість; досить відчути приємний запах із кухні, аби уявити, що там готується смачний сніданок).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noProof/>
                <w:color w:val="2F2F2F"/>
                <w:sz w:val="21"/>
                <w:szCs w:val="21"/>
                <w:lang w:eastAsia="uk-UA"/>
              </w:rPr>
              <w:lastRenderedPageBreak/>
              <w:drawing>
                <wp:inline distT="0" distB="0" distL="0" distR="0">
                  <wp:extent cx="2390775" cy="2609850"/>
                  <wp:effectExtent l="0" t="0" r="9525" b="0"/>
                  <wp:docPr id="1" name="Рисунок 1" descr="http://8next.com/uploads/fotos/7bio/bl_05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8next.com/uploads/fotos/7bio/bl_058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75" w:rsidRPr="00EF0375" w:rsidTr="00EF0375">
        <w:trPr>
          <w:tblCellSpacing w:w="0" w:type="dxa"/>
        </w:trPr>
        <w:tc>
          <w:tcPr>
            <w:tcW w:w="0" w:type="auto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b/>
                <w:bCs/>
                <w:color w:val="2F2F2F"/>
                <w:sz w:val="21"/>
                <w:szCs w:val="21"/>
                <w:bdr w:val="none" w:sz="0" w:space="0" w:color="auto" w:frame="1"/>
                <w:lang w:eastAsia="uk-UA"/>
              </w:rPr>
              <w:lastRenderedPageBreak/>
              <w:t>• Компенсація - відшкодування функції однієї сенсорної системи за рахунок якісної перебудови або посиленого використання збережених функцій інших сенсорних систем</w:t>
            </w: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 xml:space="preserve"> (наприклад, при втраті зору сильно розвивається слух, нюх чи дотик: незрячі можуть уявити загальний вигляд предмету за дотиками, впізнати людину за запахом, сприймають текст на дотик за допомогою рельєфно-крапкового шрифту француза Луїса </w:t>
            </w:r>
            <w:proofErr w:type="spellStart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Брайля</w:t>
            </w:r>
            <w:proofErr w:type="spellEnd"/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; при втраті слуху сильно розвивається дотик: глухі можуть танцювати під музику, якщо задіяні тактильні рецептори).</w:t>
            </w:r>
          </w:p>
          <w:p w:rsidR="00EF0375" w:rsidRPr="00EF0375" w:rsidRDefault="00EF0375" w:rsidP="00EF0375">
            <w:pPr>
              <w:spacing w:after="0" w:line="360" w:lineRule="atLeast"/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</w:pPr>
            <w:r w:rsidRPr="00EF0375">
              <w:rPr>
                <w:rFonts w:ascii="inherit" w:eastAsia="Times New Roman" w:hAnsi="inherit" w:cs="Arial"/>
                <w:color w:val="2F2F2F"/>
                <w:sz w:val="21"/>
                <w:szCs w:val="21"/>
                <w:lang w:eastAsia="uk-UA"/>
              </w:rPr>
              <w:t>Біологічне значення явища компенсації сенсорних систем: у разі ушкодження однієї з них (унаслідок хвороби або травми), підвищується чутливість до дії подразників інших.</w:t>
            </w:r>
          </w:p>
        </w:tc>
      </w:tr>
    </w:tbl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inherit" w:eastAsia="Times New Roman" w:hAnsi="inherit" w:cs="Arial"/>
          <w:b/>
          <w:bCs/>
          <w:color w:val="2F2F2F"/>
          <w:sz w:val="21"/>
          <w:szCs w:val="21"/>
          <w:bdr w:val="none" w:sz="0" w:space="0" w:color="auto" w:frame="1"/>
          <w:lang w:eastAsia="uk-UA"/>
        </w:rPr>
        <w:t>Роль сенсорних систем:</w:t>
      </w:r>
      <w:r w:rsidRPr="00EF0375">
        <w:rPr>
          <w:rFonts w:ascii="inherit" w:eastAsia="Times New Roman" w:hAnsi="inherit" w:cs="Arial"/>
          <w:color w:val="2F2F2F"/>
          <w:sz w:val="21"/>
          <w:szCs w:val="21"/>
          <w:bdr w:val="none" w:sz="0" w:space="0" w:color="auto" w:frame="1"/>
          <w:lang w:eastAsia="uk-UA"/>
        </w:rPr>
        <w:t> забезпечення зв'язку організму із зовнішнім середовищем (людина розрізняє колір і форму предметів, залах і смак, звуки, зміну температури, біль, оцінює положення тіла). 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inherit" w:eastAsia="Times New Roman" w:hAnsi="inherit" w:cs="Arial"/>
          <w:b/>
          <w:bCs/>
          <w:color w:val="FF0000"/>
          <w:sz w:val="21"/>
          <w:szCs w:val="21"/>
          <w:bdr w:val="none" w:sz="0" w:space="0" w:color="auto" w:frame="1"/>
          <w:lang w:eastAsia="uk-UA"/>
        </w:rPr>
        <w:t>ФУНКЦІЇ СЕНСОРНИХ СИСТЕМ: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 xml:space="preserve">• Інформативна (сприйняття впливів зовнішнього середовища аналізаторами та формування </w:t>
      </w:r>
      <w:proofErr w:type="spellStart"/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відчуттів</w:t>
      </w:r>
      <w:proofErr w:type="spellEnd"/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).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• Керуюча (полягає в аналізі отриманої інформації корою головного мозку, керування довільними рухами та внутрішньою діяльністю).</w:t>
      </w:r>
    </w:p>
    <w:p w:rsidR="00EF0375" w:rsidRPr="00EF0375" w:rsidRDefault="00EF0375" w:rsidP="00EF037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2F2F2F"/>
          <w:sz w:val="21"/>
          <w:szCs w:val="21"/>
          <w:lang w:eastAsia="uk-UA"/>
        </w:rPr>
      </w:pPr>
      <w:r w:rsidRPr="00EF0375">
        <w:rPr>
          <w:rFonts w:ascii="Arial" w:eastAsia="Times New Roman" w:hAnsi="Arial" w:cs="Arial"/>
          <w:color w:val="2F2F2F"/>
          <w:sz w:val="21"/>
          <w:szCs w:val="21"/>
          <w:lang w:eastAsia="uk-UA"/>
        </w:rPr>
        <w:t>• Адаптаційна (полягає у забезпеченні пристосувальних реакцій організму у відповідь на дію подразників зовнішнього та внутрішнього середовища).</w:t>
      </w:r>
    </w:p>
    <w:p w:rsidR="0052506B" w:rsidRDefault="0052506B">
      <w:pPr>
        <w:rPr>
          <w:rFonts w:ascii="Times New Roman" w:hAnsi="Times New Roman" w:cs="Times New Roman"/>
          <w:sz w:val="28"/>
          <w:szCs w:val="28"/>
        </w:rPr>
      </w:pPr>
    </w:p>
    <w:p w:rsidR="00C657ED" w:rsidRDefault="00C6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double"/>
        </w:rPr>
        <w:t xml:space="preserve">Домашнє завдання: </w:t>
      </w:r>
      <w:r>
        <w:rPr>
          <w:rFonts w:ascii="Times New Roman" w:hAnsi="Times New Roman" w:cs="Times New Roman"/>
          <w:sz w:val="28"/>
          <w:szCs w:val="28"/>
        </w:rPr>
        <w:t xml:space="preserve">Опрацювати §41, усно дати відповідь на запитання (с. 197), письмово виконати завдання «Виберіть одну правильну відповідь» на с. 197. </w:t>
      </w:r>
      <w:r>
        <w:rPr>
          <w:rFonts w:ascii="Times New Roman" w:hAnsi="Times New Roman" w:cs="Times New Roman"/>
          <w:b/>
          <w:sz w:val="28"/>
          <w:szCs w:val="28"/>
          <w:u w:val="double"/>
        </w:rPr>
        <w:t>Письмове завдання виконати в окремому зошиті. На хімію і біологію можна завести 1 зошит на 12 аркушів.</w:t>
      </w:r>
      <w:r>
        <w:rPr>
          <w:rFonts w:ascii="Times New Roman" w:hAnsi="Times New Roman" w:cs="Times New Roman"/>
          <w:sz w:val="28"/>
          <w:szCs w:val="28"/>
        </w:rPr>
        <w:t xml:space="preserve"> Бажаю успіху.</w:t>
      </w:r>
    </w:p>
    <w:p w:rsidR="00FB6E89" w:rsidRDefault="00FB6E89">
      <w:pPr>
        <w:rPr>
          <w:rFonts w:ascii="Times New Roman" w:hAnsi="Times New Roman" w:cs="Times New Roman"/>
          <w:sz w:val="28"/>
          <w:szCs w:val="28"/>
        </w:rPr>
      </w:pPr>
    </w:p>
    <w:p w:rsidR="00FB6E89" w:rsidRDefault="00FB6E89">
      <w:pPr>
        <w:rPr>
          <w:rFonts w:ascii="Times New Roman" w:hAnsi="Times New Roman" w:cs="Times New Roman"/>
          <w:sz w:val="28"/>
          <w:szCs w:val="28"/>
        </w:rPr>
      </w:pPr>
    </w:p>
    <w:p w:rsidR="00FB6E89" w:rsidRDefault="00FB6E89">
      <w:pPr>
        <w:rPr>
          <w:rFonts w:ascii="Times New Roman" w:hAnsi="Times New Roman" w:cs="Times New Roman"/>
          <w:sz w:val="28"/>
          <w:szCs w:val="28"/>
        </w:rPr>
      </w:pPr>
    </w:p>
    <w:p w:rsidR="00FB6E89" w:rsidRDefault="00FB6E89">
      <w:pPr>
        <w:rPr>
          <w:rFonts w:ascii="Times New Roman" w:hAnsi="Times New Roman" w:cs="Times New Roman"/>
          <w:b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sz w:val="28"/>
          <w:szCs w:val="28"/>
          <w:u w:val="double"/>
        </w:rPr>
        <w:lastRenderedPageBreak/>
        <w:t>Тема: Зорова сенсорна система. Око.</w:t>
      </w:r>
    </w:p>
    <w:p w:rsidR="00FB6E89" w:rsidRDefault="00FB6E8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Більше 90 % інформації з довкілля ми отримуємо за рахунок зорової сенсорної системи. </w:t>
      </w:r>
      <w:r w:rsidRPr="00FB6E89">
        <w:rPr>
          <w:rFonts w:ascii="Times New Roman" w:hAnsi="Times New Roman" w:cs="Times New Roman"/>
          <w:i/>
          <w:sz w:val="28"/>
          <w:szCs w:val="28"/>
        </w:rPr>
        <w:t xml:space="preserve">Загальний план будови </w:t>
      </w:r>
      <w:r w:rsidR="009F1DF7">
        <w:rPr>
          <w:rFonts w:ascii="Times New Roman" w:hAnsi="Times New Roman" w:cs="Times New Roman"/>
          <w:i/>
          <w:sz w:val="28"/>
          <w:szCs w:val="28"/>
        </w:rPr>
        <w:t xml:space="preserve">аналізатора </w:t>
      </w:r>
      <w:r w:rsidRPr="00FB6E89">
        <w:rPr>
          <w:rFonts w:ascii="Times New Roman" w:hAnsi="Times New Roman" w:cs="Times New Roman"/>
          <w:i/>
          <w:sz w:val="28"/>
          <w:szCs w:val="28"/>
        </w:rPr>
        <w:t>див. у попередньому конспекті-підказці.</w:t>
      </w:r>
    </w:p>
    <w:p w:rsidR="009F1DF7" w:rsidRPr="009F1DF7" w:rsidRDefault="009F1DF7" w:rsidP="009F1DF7">
      <w:pPr>
        <w:shd w:val="clear" w:color="auto" w:fill="CCCCCC"/>
        <w:spacing w:before="100" w:beforeAutospacing="1" w:after="100" w:afterAutospacing="1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b/>
          <w:bCs/>
          <w:color w:val="000000"/>
          <w:sz w:val="20"/>
          <w:szCs w:val="20"/>
          <w:lang w:eastAsia="uk-UA"/>
        </w:rPr>
        <w:t>Функції зорової сенсорної системи:</w:t>
      </w:r>
    </w:p>
    <w:p w:rsidR="009F1DF7" w:rsidRPr="009F1DF7" w:rsidRDefault="009F1DF7" w:rsidP="009F1DF7">
      <w:pPr>
        <w:numPr>
          <w:ilvl w:val="0"/>
          <w:numId w:val="1"/>
        </w:numPr>
        <w:shd w:val="clear" w:color="auto" w:fill="CCCCCC"/>
        <w:spacing w:before="100" w:beforeAutospacing="1" w:after="100" w:afterAutospacing="1" w:line="225" w:lineRule="atLeast"/>
        <w:ind w:left="300" w:firstLine="225"/>
        <w:jc w:val="both"/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• розрізнення світла і темряви;</w:t>
      </w:r>
    </w:p>
    <w:p w:rsidR="009F1DF7" w:rsidRPr="009F1DF7" w:rsidRDefault="009F1DF7" w:rsidP="009F1DF7">
      <w:pPr>
        <w:numPr>
          <w:ilvl w:val="0"/>
          <w:numId w:val="1"/>
        </w:numPr>
        <w:shd w:val="clear" w:color="auto" w:fill="CCCCCC"/>
        <w:spacing w:before="100" w:beforeAutospacing="1" w:after="100" w:afterAutospacing="1" w:line="225" w:lineRule="atLeast"/>
        <w:ind w:left="300" w:firstLine="225"/>
        <w:jc w:val="both"/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• визначення кольору предметів і явищ навколишнього світу;</w:t>
      </w:r>
    </w:p>
    <w:p w:rsidR="009F1DF7" w:rsidRPr="009F1DF7" w:rsidRDefault="009F1DF7" w:rsidP="009F1DF7">
      <w:pPr>
        <w:numPr>
          <w:ilvl w:val="0"/>
          <w:numId w:val="1"/>
        </w:numPr>
        <w:shd w:val="clear" w:color="auto" w:fill="CCCCCC"/>
        <w:spacing w:before="100" w:beforeAutospacing="1" w:after="100" w:afterAutospacing="1" w:line="225" w:lineRule="atLeast"/>
        <w:ind w:left="300" w:firstLine="225"/>
        <w:jc w:val="both"/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• оцінка інтенсивності світла й кольору;</w:t>
      </w:r>
    </w:p>
    <w:p w:rsidR="009F1DF7" w:rsidRPr="009F1DF7" w:rsidRDefault="009F1DF7" w:rsidP="009F1DF7">
      <w:pPr>
        <w:numPr>
          <w:ilvl w:val="0"/>
          <w:numId w:val="1"/>
        </w:numPr>
        <w:shd w:val="clear" w:color="auto" w:fill="CCCCCC"/>
        <w:spacing w:before="100" w:beforeAutospacing="1" w:after="100" w:afterAutospacing="1" w:line="225" w:lineRule="atLeast"/>
        <w:ind w:left="300" w:firstLine="225"/>
        <w:jc w:val="both"/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• оцінка віддаленості видимих предметів;</w:t>
      </w:r>
    </w:p>
    <w:p w:rsidR="009F1DF7" w:rsidRPr="009F1DF7" w:rsidRDefault="009F1DF7" w:rsidP="009F1DF7">
      <w:pPr>
        <w:numPr>
          <w:ilvl w:val="0"/>
          <w:numId w:val="1"/>
        </w:numPr>
        <w:shd w:val="clear" w:color="auto" w:fill="CCCCCC"/>
        <w:spacing w:before="100" w:beforeAutospacing="1" w:after="100" w:afterAutospacing="1" w:line="225" w:lineRule="atLeast"/>
        <w:ind w:left="300" w:firstLine="225"/>
        <w:jc w:val="both"/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• оцінка об'ємності й глибини розташування предметів;</w:t>
      </w:r>
    </w:p>
    <w:p w:rsidR="009F1DF7" w:rsidRPr="009F1DF7" w:rsidRDefault="009F1DF7" w:rsidP="009F1DF7">
      <w:pPr>
        <w:numPr>
          <w:ilvl w:val="0"/>
          <w:numId w:val="1"/>
        </w:numPr>
        <w:shd w:val="clear" w:color="auto" w:fill="CCCCCC"/>
        <w:spacing w:before="100" w:beforeAutospacing="1" w:after="100" w:afterAutospacing="1" w:line="225" w:lineRule="atLeast"/>
        <w:ind w:left="300" w:firstLine="225"/>
        <w:jc w:val="both"/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• оцінка знаходження джерела світла;</w:t>
      </w:r>
    </w:p>
    <w:p w:rsidR="009F1DF7" w:rsidRPr="009F1DF7" w:rsidRDefault="009F1DF7" w:rsidP="009F1DF7">
      <w:pPr>
        <w:numPr>
          <w:ilvl w:val="0"/>
          <w:numId w:val="1"/>
        </w:numPr>
        <w:shd w:val="clear" w:color="auto" w:fill="CCCCCC"/>
        <w:spacing w:before="100" w:beforeAutospacing="1" w:after="100" w:afterAutospacing="1" w:line="225" w:lineRule="atLeast"/>
        <w:ind w:left="300" w:firstLine="225"/>
        <w:jc w:val="both"/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</w:pPr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 xml:space="preserve">• формування </w:t>
      </w:r>
      <w:proofErr w:type="spellStart"/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відчуттів</w:t>
      </w:r>
      <w:proofErr w:type="spellEnd"/>
      <w:r w:rsidRPr="009F1DF7">
        <w:rPr>
          <w:rFonts w:ascii="Palatino Linotype" w:eastAsia="Times New Roman" w:hAnsi="Palatino Linotype" w:cs="Times New Roman"/>
          <w:color w:val="242424"/>
          <w:sz w:val="20"/>
          <w:szCs w:val="20"/>
          <w:lang w:eastAsia="uk-UA"/>
        </w:rPr>
        <w:t>, уявлень, образів.</w:t>
      </w:r>
    </w:p>
    <w:p w:rsidR="00FB6E89" w:rsidRDefault="0060359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 людини складається з очного яблука </w:t>
      </w:r>
      <w:r>
        <w:rPr>
          <w:rFonts w:ascii="Times New Roman" w:hAnsi="Times New Roman" w:cs="Times New Roman"/>
          <w:i/>
          <w:sz w:val="28"/>
          <w:szCs w:val="28"/>
        </w:rPr>
        <w:t>(с. 198 підручника)</w:t>
      </w:r>
      <w:r>
        <w:rPr>
          <w:rFonts w:ascii="Times New Roman" w:hAnsi="Times New Roman" w:cs="Times New Roman"/>
          <w:sz w:val="28"/>
          <w:szCs w:val="28"/>
        </w:rPr>
        <w:t xml:space="preserve"> і допоміжного апарату </w:t>
      </w:r>
      <w:r>
        <w:rPr>
          <w:rFonts w:ascii="Times New Roman" w:hAnsi="Times New Roman" w:cs="Times New Roman"/>
          <w:i/>
          <w:sz w:val="28"/>
          <w:szCs w:val="28"/>
        </w:rPr>
        <w:t>(с. 201 підручника).</w:t>
      </w:r>
      <w:r w:rsidRPr="00603598">
        <w:rPr>
          <w:rFonts w:ascii="Arial" w:hAnsi="Arial" w:cs="Arial"/>
          <w:color w:val="000000"/>
        </w:rPr>
        <w:t xml:space="preserve"> </w:t>
      </w:r>
      <w:r w:rsidRPr="00603598">
        <w:rPr>
          <w:rFonts w:ascii="Times New Roman" w:hAnsi="Times New Roman" w:cs="Times New Roman"/>
          <w:color w:val="000000"/>
          <w:sz w:val="28"/>
          <w:szCs w:val="28"/>
        </w:rPr>
        <w:t>Поверхня очного яблука має три оболонки: зовнішню — білкову або склеру, середню — судинну і внутрішню — сітківку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03598" w:rsidRDefault="00603598">
      <w:pPr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noProof/>
          <w:lang w:eastAsia="uk-UA"/>
        </w:rPr>
        <w:drawing>
          <wp:inline distT="0" distB="0" distL="0" distR="0">
            <wp:extent cx="4619625" cy="2543175"/>
            <wp:effectExtent l="0" t="0" r="9525" b="9525"/>
            <wp:docPr id="5" name="Рисунок 5" descr="http://8next.com/uploads/fotos/7bio/bl_06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8next.com/uploads/fotos/7bio/bl_064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98" w:rsidRDefault="0060359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double"/>
        </w:rPr>
        <w:t xml:space="preserve">Домашнє завдання: </w:t>
      </w:r>
      <w:r w:rsidR="00097B4B" w:rsidRPr="00097B4B">
        <w:rPr>
          <w:rFonts w:ascii="Times New Roman" w:hAnsi="Times New Roman" w:cs="Times New Roman"/>
          <w:sz w:val="28"/>
          <w:szCs w:val="28"/>
        </w:rPr>
        <w:t>1.</w:t>
      </w:r>
      <w:r w:rsidR="00097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Опрацювати §</w:t>
      </w:r>
      <w:r>
        <w:rPr>
          <w:rFonts w:ascii="Times New Roman" w:hAnsi="Times New Roman" w:cs="Times New Roman"/>
          <w:sz w:val="28"/>
          <w:szCs w:val="28"/>
        </w:rPr>
        <w:t xml:space="preserve">42. </w:t>
      </w:r>
    </w:p>
    <w:p w:rsidR="00603598" w:rsidRDefault="0060359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97B4B">
        <w:rPr>
          <w:rFonts w:ascii="Times New Roman" w:hAnsi="Times New Roman" w:cs="Times New Roman"/>
          <w:sz w:val="28"/>
          <w:szCs w:val="28"/>
        </w:rPr>
        <w:t xml:space="preserve"> 2. </w:t>
      </w:r>
      <w:r>
        <w:rPr>
          <w:rFonts w:ascii="Times New Roman" w:hAnsi="Times New Roman" w:cs="Times New Roman"/>
          <w:sz w:val="28"/>
          <w:szCs w:val="28"/>
        </w:rPr>
        <w:t xml:space="preserve">Заповнити таблицю </w:t>
      </w:r>
      <w:r w:rsidRPr="00097B4B">
        <w:rPr>
          <w:rFonts w:ascii="Times New Roman" w:hAnsi="Times New Roman" w:cs="Times New Roman"/>
          <w:b/>
          <w:sz w:val="28"/>
          <w:szCs w:val="28"/>
        </w:rPr>
        <w:t>в зошиті</w:t>
      </w:r>
      <w:r>
        <w:rPr>
          <w:rFonts w:ascii="Times New Roman" w:hAnsi="Times New Roman" w:cs="Times New Roman"/>
          <w:sz w:val="28"/>
          <w:szCs w:val="28"/>
        </w:rPr>
        <w:t>, користуючись опрацьованою інформацією підручника:</w:t>
      </w:r>
    </w:p>
    <w:p w:rsidR="00603598" w:rsidRPr="00603598" w:rsidRDefault="00603598" w:rsidP="0060359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Будова очного яблука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603598" w:rsidTr="00603598">
        <w:tc>
          <w:tcPr>
            <w:tcW w:w="3209" w:type="dxa"/>
          </w:tcPr>
          <w:p w:rsidR="00603598" w:rsidRDefault="008923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Оболонка ока</w:t>
            </w:r>
          </w:p>
        </w:tc>
        <w:tc>
          <w:tcPr>
            <w:tcW w:w="3210" w:type="dxa"/>
          </w:tcPr>
          <w:p w:rsidR="00603598" w:rsidRDefault="008923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Особливості будови</w:t>
            </w:r>
          </w:p>
        </w:tc>
        <w:tc>
          <w:tcPr>
            <w:tcW w:w="3210" w:type="dxa"/>
          </w:tcPr>
          <w:p w:rsidR="00603598" w:rsidRDefault="008923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Виконувані функції</w:t>
            </w:r>
          </w:p>
        </w:tc>
      </w:tr>
      <w:tr w:rsidR="00603598" w:rsidTr="00892365">
        <w:trPr>
          <w:trHeight w:val="1212"/>
        </w:trPr>
        <w:tc>
          <w:tcPr>
            <w:tcW w:w="3209" w:type="dxa"/>
          </w:tcPr>
          <w:p w:rsidR="00603598" w:rsidRDefault="006035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603598" w:rsidRDefault="006035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:rsidR="00603598" w:rsidRDefault="006035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3598" w:rsidRPr="00603598" w:rsidRDefault="00097B4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Виконайте </w:t>
      </w:r>
      <w:r w:rsidRPr="00097B4B">
        <w:rPr>
          <w:rFonts w:ascii="Times New Roman" w:hAnsi="Times New Roman" w:cs="Times New Roman"/>
          <w:b/>
          <w:sz w:val="28"/>
          <w:szCs w:val="28"/>
        </w:rPr>
        <w:t>письмово завдання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«Виберіть одну правильну відповідь» н</w:t>
      </w:r>
      <w:r>
        <w:rPr>
          <w:rFonts w:ascii="Times New Roman" w:hAnsi="Times New Roman" w:cs="Times New Roman"/>
          <w:sz w:val="28"/>
          <w:szCs w:val="28"/>
        </w:rPr>
        <w:t>а с. 201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603598" w:rsidRPr="00603598">
      <w:footerReference w:type="default" r:id="rId1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A21" w:rsidRDefault="003E5A21" w:rsidP="00C657ED">
      <w:pPr>
        <w:spacing w:after="0" w:line="240" w:lineRule="auto"/>
      </w:pPr>
      <w:r>
        <w:separator/>
      </w:r>
    </w:p>
  </w:endnote>
  <w:endnote w:type="continuationSeparator" w:id="0">
    <w:p w:rsidR="003E5A21" w:rsidRDefault="003E5A21" w:rsidP="00C6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7779256"/>
      <w:docPartObj>
        <w:docPartGallery w:val="Page Numbers (Bottom of Page)"/>
        <w:docPartUnique/>
      </w:docPartObj>
    </w:sdtPr>
    <w:sdtContent>
      <w:p w:rsidR="00C657ED" w:rsidRDefault="00C657E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B4B">
          <w:rPr>
            <w:noProof/>
          </w:rPr>
          <w:t>6</w:t>
        </w:r>
        <w:r>
          <w:fldChar w:fldCharType="end"/>
        </w:r>
      </w:p>
    </w:sdtContent>
  </w:sdt>
  <w:p w:rsidR="00C657ED" w:rsidRDefault="00C657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A21" w:rsidRDefault="003E5A21" w:rsidP="00C657ED">
      <w:pPr>
        <w:spacing w:after="0" w:line="240" w:lineRule="auto"/>
      </w:pPr>
      <w:r>
        <w:separator/>
      </w:r>
    </w:p>
  </w:footnote>
  <w:footnote w:type="continuationSeparator" w:id="0">
    <w:p w:rsidR="003E5A21" w:rsidRDefault="003E5A21" w:rsidP="00C65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842DF"/>
    <w:multiLevelType w:val="multilevel"/>
    <w:tmpl w:val="66C8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474C32"/>
    <w:multiLevelType w:val="multilevel"/>
    <w:tmpl w:val="B112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CC3"/>
    <w:rsid w:val="00097B4B"/>
    <w:rsid w:val="003E5A21"/>
    <w:rsid w:val="0052506B"/>
    <w:rsid w:val="00561DC7"/>
    <w:rsid w:val="00603598"/>
    <w:rsid w:val="00640CC3"/>
    <w:rsid w:val="00892365"/>
    <w:rsid w:val="009F1DF7"/>
    <w:rsid w:val="00B33911"/>
    <w:rsid w:val="00C657ED"/>
    <w:rsid w:val="00EF0375"/>
    <w:rsid w:val="00FB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63319"/>
  <w15:chartTrackingRefBased/>
  <w15:docId w15:val="{0B52944A-810F-4E6B-A642-40DD1EBDA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0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EF0375"/>
    <w:rPr>
      <w:b/>
      <w:bCs/>
    </w:rPr>
  </w:style>
  <w:style w:type="paragraph" w:styleId="a5">
    <w:name w:val="header"/>
    <w:basedOn w:val="a"/>
    <w:link w:val="a6"/>
    <w:uiPriority w:val="99"/>
    <w:unhideWhenUsed/>
    <w:rsid w:val="00C657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657ED"/>
  </w:style>
  <w:style w:type="paragraph" w:styleId="a7">
    <w:name w:val="footer"/>
    <w:basedOn w:val="a"/>
    <w:link w:val="a8"/>
    <w:uiPriority w:val="99"/>
    <w:unhideWhenUsed/>
    <w:rsid w:val="00C657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657ED"/>
  </w:style>
  <w:style w:type="table" w:styleId="a9">
    <w:name w:val="Table Grid"/>
    <w:basedOn w:val="a1"/>
    <w:uiPriority w:val="39"/>
    <w:rsid w:val="0060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4531</Words>
  <Characters>2583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 Savchuk</dc:creator>
  <cp:keywords/>
  <dc:description/>
  <cp:lastModifiedBy>Ira Savchuk</cp:lastModifiedBy>
  <cp:revision>4</cp:revision>
  <dcterms:created xsi:type="dcterms:W3CDTF">2020-03-17T16:05:00Z</dcterms:created>
  <dcterms:modified xsi:type="dcterms:W3CDTF">2020-03-17T16:59:00Z</dcterms:modified>
</cp:coreProperties>
</file>