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E532E2" w:rsidP="003F2A3F"/>
    <w:p w:rsidR="00623F79" w:rsidRPr="00623F79" w:rsidRDefault="00623F79" w:rsidP="00623F7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Потенційно-небезпечні</w:t>
      </w:r>
      <w:proofErr w:type="spellEnd"/>
      <w:r w:rsidRPr="00623F7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об'єкти</w:t>
      </w:r>
      <w:proofErr w:type="spellEnd"/>
      <w:r w:rsidRPr="00623F7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 xml:space="preserve"> та </w:t>
      </w:r>
      <w:proofErr w:type="spellStart"/>
      <w:r w:rsidRPr="00623F7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їх</w:t>
      </w:r>
      <w:proofErr w:type="spellEnd"/>
      <w:r w:rsidRPr="00623F7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 xml:space="preserve"> характеристика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Серед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безл</w:t>
      </w:r>
      <w:proofErr w:type="gram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ічі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економіки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господарської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діяльності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– ОГД)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виділяють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певну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групу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певних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обставин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можуть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створити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реальну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загрозу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виникнення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виробничої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аварії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Найчастіше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це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на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використовуються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виготовляються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переробляються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зберігаються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транспортуються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небезпечні</w:t>
      </w:r>
      <w:proofErr w:type="spellEnd"/>
      <w:r w:rsidRPr="00623F7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біологічні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препарати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ОГД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називають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потенційно-небезпечними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об'єктами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(ПНО)</w:t>
      </w:r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Небезпечними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речовинами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для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Закон [1]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визначає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хімічні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токсичні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вибухові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окислювальні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біологічні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агенти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біологічного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походження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становлять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небезпеку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життя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і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здоров'я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людей та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довкілля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Усі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можуть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обертатися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ПНО, за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їх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властивостями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НПАОП 0.00-3.08-02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поділяє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 </w:t>
      </w:r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7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категорій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</w:p>
    <w:p w:rsidR="00623F79" w:rsidRPr="00623F79" w:rsidRDefault="00623F79" w:rsidP="00623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займисті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) гази</w:t>
      </w: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гази,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утворюють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пові</w:t>
      </w:r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тр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при нормальному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тиску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суміші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сприяють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поширенню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полум'я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детонаційному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дефлаграційному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режимі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можуть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горіти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повітрі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дифузійному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режимі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при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витіканні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струменем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факельне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горіння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);</w:t>
      </w:r>
    </w:p>
    <w:p w:rsidR="00623F79" w:rsidRPr="00623F79" w:rsidRDefault="00623F79" w:rsidP="00623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р</w:t>
      </w:r>
      <w:proofErr w:type="gram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температурою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спалаху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дорівнює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менша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61 °С 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закритому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тиглі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температурою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спалаху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дорівнює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менша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66 °С 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відкритому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тиглі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легкозаймисті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згідно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ГОСТ 12.1.044-89 "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Пожаровзрывоопасность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веществ и материалов");</w:t>
      </w:r>
    </w:p>
    <w:p w:rsidR="00623F79" w:rsidRPr="00623F79" w:rsidRDefault="00623F79" w:rsidP="00623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3)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р</w:t>
      </w:r>
      <w:proofErr w:type="gram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ідини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перегріті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під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тиском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згідно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ГОСТ 12.1.044-89,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знаходяться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апаратах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резервуарах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трубопроводах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під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тиском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при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температурі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перевищує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температуру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кипіння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при атмосферному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тиску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1,25 і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більше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разів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623F79" w:rsidRPr="00623F79" w:rsidRDefault="00623F79" w:rsidP="00623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вибухові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тверді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суміші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під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впливом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зовнішніх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факторів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здатні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швидко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змінювати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свій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хімічний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склад, а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цей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процес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може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саморозповсюджуватися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виділенням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великої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кількості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тепла і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газоподібних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продуктів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клас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1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згідно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ГОСТ 19433-88 – "Грузы опасные. </w:t>
      </w:r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Классификация и маркировка");</w:t>
      </w:r>
      <w:proofErr w:type="gramEnd"/>
    </w:p>
    <w:p w:rsidR="00623F79" w:rsidRPr="00623F79" w:rsidRDefault="00623F79" w:rsidP="00623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5)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речовини-окисники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5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класу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небезпеки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згідно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ГОСТ 19433-88). До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цієї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категорії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відносяться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ідтримують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процес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горіння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наприклад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кисень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озон, хлор,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оксиди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азоту та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інші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зрідженому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стані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);</w:t>
      </w:r>
    </w:p>
    <w:p w:rsidR="00623F79" w:rsidRPr="00623F79" w:rsidRDefault="00623F79" w:rsidP="00623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6)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високотоксичні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та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токсичні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мають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властивості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зазначені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 табл. 1.1 (ГОСТ 12.1.007-76);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Таблиця</w:t>
      </w:r>
      <w:proofErr w:type="spellEnd"/>
      <w:r w:rsidRPr="00623F7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 xml:space="preserve"> 1.1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417"/>
        <w:gridCol w:w="1645"/>
        <w:gridCol w:w="1518"/>
        <w:gridCol w:w="1749"/>
        <w:gridCol w:w="2001"/>
      </w:tblGrid>
      <w:tr w:rsidR="00623F79" w:rsidRPr="00623F79" w:rsidTr="00623F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Клас</w:t>
            </w:r>
            <w:proofErr w:type="spellEnd"/>
          </w:p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речовини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ГДК у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пові</w:t>
            </w:r>
            <w:proofErr w:type="gram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тр</w:t>
            </w:r>
            <w:proofErr w:type="gram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робочої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зони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міліграмів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на 1 куб. </w:t>
            </w: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метр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Середня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смертельна доза (LD50) при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потраплянні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шлунок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, </w:t>
            </w:r>
            <w:proofErr w:type="spellStart"/>
            <w:proofErr w:type="gram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грам</w:t>
            </w:r>
            <w:proofErr w:type="gram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ів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на 1 кг ваги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тіла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Середня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смертельна доза (LD50) при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впливі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шкіру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мілі</w:t>
            </w:r>
            <w:proofErr w:type="gram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грам</w:t>
            </w:r>
            <w:proofErr w:type="gram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ів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на 1 кг ваги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тіла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Середня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смертельна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концентрація</w:t>
            </w:r>
            <w:proofErr w:type="spellEnd"/>
          </w:p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(LD50)</w:t>
            </w:r>
          </w:p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пові</w:t>
            </w:r>
            <w:proofErr w:type="gram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тр</w:t>
            </w:r>
            <w:proofErr w:type="gram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міліграмів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на 1 куб. метр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Дискримінуюча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доза,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мілі</w:t>
            </w:r>
            <w:proofErr w:type="gram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грам</w:t>
            </w:r>
            <w:proofErr w:type="gram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ів</w:t>
            </w:r>
            <w:proofErr w:type="spellEnd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на 1 кг ваги </w:t>
            </w: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тіла</w:t>
            </w:r>
            <w:proofErr w:type="spellEnd"/>
          </w:p>
        </w:tc>
      </w:tr>
      <w:tr w:rsidR="00623F79" w:rsidRPr="00623F79" w:rsidTr="00623F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Високо</w:t>
            </w:r>
            <w:proofErr w:type="spellEnd"/>
          </w:p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токсична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&lt;0,1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&lt;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&lt;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&lt;500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&lt;5</w:t>
            </w:r>
          </w:p>
        </w:tc>
      </w:tr>
      <w:tr w:rsidR="00623F79" w:rsidRPr="00623F79" w:rsidTr="00623F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Токсична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0,1...1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15...150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100...500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500...5000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F79" w:rsidRPr="00623F79" w:rsidRDefault="00623F79" w:rsidP="00623F7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623F7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5</w:t>
            </w:r>
          </w:p>
        </w:tc>
      </w:tr>
    </w:tbl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7)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становлять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небезпеку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довкілля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(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високотоксичні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водних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організмів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).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За видами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аварій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можуть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статися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ОПН та ПНО,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виходячи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властивостей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та за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впливом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уражаючих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факторів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аварій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категорії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об'єднують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у 3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групи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</w:p>
    <w:p w:rsidR="00623F79" w:rsidRPr="00623F79" w:rsidRDefault="00623F79" w:rsidP="00623F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•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група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1 (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вибух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)</w:t>
      </w: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займисті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 гази,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перегріті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під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тиском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ініціюючі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первинні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бризантні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вторинні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 та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піротехнічні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вибухові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речовини-окислювачі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вступають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бурхливу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реакцію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водою з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виділенням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горючих та/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вибухонебезпечних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токсичних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газів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623F79" w:rsidRPr="00623F79" w:rsidRDefault="00623F79" w:rsidP="00623F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•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група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2 (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пожежа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) – 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займисті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 гази,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рідини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перегріті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під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тиском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-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окисники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а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також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вступають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бурхливу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реакцію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водою з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виділенням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горючих та/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вибухонебезпечних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токсичних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газів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623F79" w:rsidRPr="00623F79" w:rsidRDefault="00623F79" w:rsidP="00623F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•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група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3 (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шкідливі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 xml:space="preserve"> для людей і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довкілля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42424"/>
          <w:sz w:val="23"/>
          <w:szCs w:val="23"/>
          <w:lang w:eastAsia="ru-RU"/>
        </w:rPr>
        <w:t>)</w:t>
      </w: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–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високотоксичні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токсичні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становлять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небезпеку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довкілля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високотоксичні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водних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організмів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становлять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небезпеку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довкілля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токсичні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водних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організмів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) та/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можуть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здійснювати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довгостроковий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негативний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вплив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на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водне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середовище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а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також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вступають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у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бурхливу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реакцію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водою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виділенням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горючих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та/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вибухонебезпечних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токсичних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газів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Проте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не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кожен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ПНО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здатний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створити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аварію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яка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може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призвести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до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виникнення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осередків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ураження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надзвичайних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ситуацій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Серед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ПНО Закон [1]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виділяє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окрему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групу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об'єктів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п</w:t>
      </w:r>
      <w:proofErr w:type="gram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ідвищеної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небезпеки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(ОПН)</w:t>
      </w:r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до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відносять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цехи,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сховища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склади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станції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інші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де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виробляють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переробляють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зберігають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транспортують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у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кількостях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дорівнює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чи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перевищує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визначене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Законом [1]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порогове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значення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є </w:t>
      </w:r>
      <w:proofErr w:type="gram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реальною</w:t>
      </w:r>
      <w:proofErr w:type="gram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загрозою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виникнення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надзвичайної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ситуації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техногенного та природного характеру</w:t>
      </w:r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Віднесення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ПНО до ОПН, таким чином,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ґрунтується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</w:t>
      </w:r>
      <w:proofErr w:type="gram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величині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порогової</w:t>
      </w:r>
      <w:proofErr w:type="spellEnd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маси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небезпечної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котра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визначається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індивідуальної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небезпечної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певної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їх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категорії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За видом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небезпечних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їх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у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виробничому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процесі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ПНО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поділяють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</w:t>
      </w:r>
      <w:proofErr w:type="gram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</w:p>
    <w:p w:rsidR="00623F79" w:rsidRPr="00623F79" w:rsidRDefault="00623F79" w:rsidP="00623F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•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вибухо-пожежонебезпечні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(ВНО);</w:t>
      </w:r>
    </w:p>
    <w:p w:rsidR="00623F79" w:rsidRPr="00623F79" w:rsidRDefault="00623F79" w:rsidP="00623F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 xml:space="preserve">•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хі</w:t>
      </w:r>
      <w:proofErr w:type="gram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ічно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небезпечні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(ХНО);</w:t>
      </w:r>
    </w:p>
    <w:p w:rsidR="00623F79" w:rsidRPr="00623F79" w:rsidRDefault="00623F79" w:rsidP="00623F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•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радіаційно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небезпечні</w:t>
      </w:r>
      <w:proofErr w:type="spellEnd"/>
      <w:r w:rsidRPr="00623F7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(РНО).</w:t>
      </w:r>
    </w:p>
    <w:p w:rsidR="00623F79" w:rsidRPr="00623F79" w:rsidRDefault="00623F79" w:rsidP="00623F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За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функціональними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ознаками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ПНО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поділяють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</w:t>
      </w:r>
      <w:proofErr w:type="spellStart"/>
      <w:proofErr w:type="gram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</w:t>
      </w:r>
      <w:proofErr w:type="gram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ідротехнічні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споруди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об'єкти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енергетики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транспортні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комунікації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</w:t>
      </w:r>
      <w:proofErr w:type="spellEnd"/>
      <w:r w:rsidRPr="00623F7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B752EE" w:rsidRDefault="00623F79" w:rsidP="003F2A3F">
      <w:pPr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Fonts w:ascii="Georgia" w:hAnsi="Georgia"/>
          <w:color w:val="222222"/>
          <w:sz w:val="23"/>
          <w:szCs w:val="23"/>
        </w:rPr>
        <w:t>Загалом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Державний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реє</w:t>
      </w:r>
      <w:proofErr w:type="gramStart"/>
      <w:r>
        <w:rPr>
          <w:rFonts w:ascii="Georgia" w:hAnsi="Georgia"/>
          <w:color w:val="222222"/>
          <w:sz w:val="23"/>
          <w:szCs w:val="23"/>
        </w:rPr>
        <w:t>стр</w:t>
      </w:r>
      <w:proofErr w:type="spellEnd"/>
      <w:proofErr w:type="gram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України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містить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дані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про 9424 ПНО, до </w:t>
      </w:r>
      <w:proofErr w:type="spellStart"/>
      <w:r>
        <w:rPr>
          <w:rFonts w:ascii="Georgia" w:hAnsi="Georgia"/>
          <w:color w:val="222222"/>
          <w:sz w:val="23"/>
          <w:szCs w:val="23"/>
        </w:rPr>
        <w:t>яких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входять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промислові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шахти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кар'єри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магістральні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газопроводи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нафтопроводи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продукто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-проводи,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гідротехнічні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вузлові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залізничні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станції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мости, </w:t>
      </w:r>
      <w:proofErr w:type="spellStart"/>
      <w:r>
        <w:rPr>
          <w:rFonts w:ascii="Georgia" w:hAnsi="Georgia"/>
          <w:color w:val="222222"/>
          <w:sz w:val="23"/>
          <w:szCs w:val="23"/>
        </w:rPr>
        <w:t>тунелі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накопичувані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й </w:t>
      </w:r>
      <w:proofErr w:type="spellStart"/>
      <w:r>
        <w:rPr>
          <w:rFonts w:ascii="Georgia" w:hAnsi="Georgia"/>
          <w:color w:val="222222"/>
          <w:sz w:val="23"/>
          <w:szCs w:val="23"/>
        </w:rPr>
        <w:t>полігони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промислових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відходів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місця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зберігання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небезпечних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речовин</w:t>
      </w:r>
      <w:proofErr w:type="spellEnd"/>
      <w:r>
        <w:rPr>
          <w:rFonts w:ascii="Georgia" w:hAnsi="Georgia"/>
          <w:color w:val="222222"/>
          <w:sz w:val="23"/>
          <w:szCs w:val="23"/>
        </w:rPr>
        <w:t>.</w:t>
      </w:r>
    </w:p>
    <w:p w:rsidR="00623F79" w:rsidRDefault="00623F79" w:rsidP="00623F79">
      <w:pPr>
        <w:pStyle w:val="a5"/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Fonts w:ascii="Georgia" w:hAnsi="Georgia"/>
          <w:color w:val="222222"/>
          <w:sz w:val="23"/>
          <w:szCs w:val="23"/>
        </w:rPr>
        <w:t>Типовими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представниками</w:t>
      </w:r>
      <w:proofErr w:type="spellEnd"/>
      <w:r>
        <w:rPr>
          <w:rFonts w:ascii="Georgia" w:hAnsi="Georgia"/>
          <w:color w:val="222222"/>
          <w:sz w:val="23"/>
          <w:szCs w:val="23"/>
        </w:rPr>
        <w:t> 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пожежонебезпечних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об'єктів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 є </w:t>
      </w:r>
      <w:proofErr w:type="spellStart"/>
      <w:r>
        <w:rPr>
          <w:rFonts w:ascii="Georgia" w:hAnsi="Georgia"/>
          <w:color w:val="222222"/>
          <w:sz w:val="23"/>
          <w:szCs w:val="23"/>
        </w:rPr>
        <w:t>деревообробні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</w:rPr>
        <w:t>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склади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бази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горючих </w:t>
      </w:r>
      <w:proofErr w:type="spellStart"/>
      <w:r>
        <w:rPr>
          <w:rFonts w:ascii="Georgia" w:hAnsi="Georgia"/>
          <w:color w:val="222222"/>
          <w:sz w:val="23"/>
          <w:szCs w:val="23"/>
        </w:rPr>
        <w:t>матеріалів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тощо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Вибухонебезпечними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об'єктами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є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</w:rPr>
        <w:t>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виготовлення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зберігання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транспортування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вибухових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речовин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вугільного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деревного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пилу, </w:t>
      </w:r>
      <w:proofErr w:type="spellStart"/>
      <w:r>
        <w:rPr>
          <w:rFonts w:ascii="Georgia" w:hAnsi="Georgia"/>
          <w:color w:val="222222"/>
          <w:sz w:val="23"/>
          <w:szCs w:val="23"/>
        </w:rPr>
        <w:t>борошняні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нафтопереробні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інші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такого роду. </w:t>
      </w:r>
      <w:proofErr w:type="spellStart"/>
      <w:r>
        <w:rPr>
          <w:rFonts w:ascii="Georgia" w:hAnsi="Georgia"/>
          <w:color w:val="222222"/>
          <w:sz w:val="23"/>
          <w:szCs w:val="23"/>
        </w:rPr>
        <w:t>Аварії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на </w:t>
      </w:r>
      <w:proofErr w:type="spellStart"/>
      <w:r>
        <w:rPr>
          <w:rFonts w:ascii="Georgia" w:hAnsi="Georgia"/>
          <w:color w:val="222222"/>
          <w:sz w:val="23"/>
          <w:szCs w:val="23"/>
        </w:rPr>
        <w:t>цих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</w:rPr>
        <w:t>ідприємствах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являють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собою </w:t>
      </w:r>
      <w:proofErr w:type="spellStart"/>
      <w:r>
        <w:rPr>
          <w:rFonts w:ascii="Georgia" w:hAnsi="Georgia"/>
          <w:color w:val="222222"/>
          <w:sz w:val="23"/>
          <w:szCs w:val="23"/>
        </w:rPr>
        <w:t>найчастіше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пожежі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й </w:t>
      </w:r>
      <w:proofErr w:type="spellStart"/>
      <w:r>
        <w:rPr>
          <w:rFonts w:ascii="Georgia" w:hAnsi="Georgia"/>
          <w:color w:val="222222"/>
          <w:sz w:val="23"/>
          <w:szCs w:val="23"/>
        </w:rPr>
        <w:t>вибухи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супроводжуються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пошкодженням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знищенням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матеріальних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цінностей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травмуванням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загибеллю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людей.</w:t>
      </w:r>
    </w:p>
    <w:p w:rsidR="00623F79" w:rsidRDefault="00623F79" w:rsidP="00623F79">
      <w:pPr>
        <w:pStyle w:val="a5"/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Хімічно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небезпечні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об'єкти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(ХНО)</w:t>
      </w:r>
      <w:r>
        <w:rPr>
          <w:rFonts w:ascii="Georgia" w:hAnsi="Georgia"/>
          <w:color w:val="222222"/>
          <w:sz w:val="23"/>
          <w:szCs w:val="23"/>
        </w:rPr>
        <w:t> </w:t>
      </w:r>
      <w:proofErr w:type="spellStart"/>
      <w:r>
        <w:rPr>
          <w:rFonts w:ascii="Georgia" w:hAnsi="Georgia"/>
          <w:color w:val="222222"/>
          <w:sz w:val="23"/>
          <w:szCs w:val="23"/>
        </w:rPr>
        <w:t>мають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справу з </w:t>
      </w:r>
      <w:proofErr w:type="spellStart"/>
      <w:r>
        <w:rPr>
          <w:rFonts w:ascii="Georgia" w:hAnsi="Georgia"/>
          <w:color w:val="222222"/>
          <w:sz w:val="23"/>
          <w:szCs w:val="23"/>
        </w:rPr>
        <w:t>токсичними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хімічними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речовинами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в </w:t>
      </w:r>
      <w:proofErr w:type="spellStart"/>
      <w:r>
        <w:rPr>
          <w:rFonts w:ascii="Georgia" w:hAnsi="Georgia"/>
          <w:color w:val="222222"/>
          <w:sz w:val="23"/>
          <w:szCs w:val="23"/>
        </w:rPr>
        <w:t>кількостях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достатніх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в </w:t>
      </w:r>
      <w:proofErr w:type="spellStart"/>
      <w:r>
        <w:rPr>
          <w:rFonts w:ascii="Georgia" w:hAnsi="Georgia"/>
          <w:color w:val="222222"/>
          <w:sz w:val="23"/>
          <w:szCs w:val="23"/>
        </w:rPr>
        <w:t>разі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виходу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їх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у </w:t>
      </w:r>
      <w:proofErr w:type="spellStart"/>
      <w:r>
        <w:rPr>
          <w:rFonts w:ascii="Georgia" w:hAnsi="Georgia"/>
          <w:color w:val="222222"/>
          <w:sz w:val="23"/>
          <w:szCs w:val="23"/>
        </w:rPr>
        <w:t>навколишній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прості</w:t>
      </w:r>
      <w:proofErr w:type="gramStart"/>
      <w:r>
        <w:rPr>
          <w:rFonts w:ascii="Georgia" w:hAnsi="Georgia"/>
          <w:color w:val="222222"/>
          <w:sz w:val="23"/>
          <w:szCs w:val="23"/>
        </w:rPr>
        <w:t>р</w:t>
      </w:r>
      <w:proofErr w:type="spellEnd"/>
      <w:proofErr w:type="gramEnd"/>
      <w:r>
        <w:rPr>
          <w:rFonts w:ascii="Georgia" w:hAnsi="Georgia"/>
          <w:color w:val="222222"/>
          <w:sz w:val="23"/>
          <w:szCs w:val="23"/>
        </w:rPr>
        <w:t xml:space="preserve"> при </w:t>
      </w:r>
      <w:proofErr w:type="spellStart"/>
      <w:r>
        <w:rPr>
          <w:rFonts w:ascii="Georgia" w:hAnsi="Georgia"/>
          <w:color w:val="222222"/>
          <w:sz w:val="23"/>
          <w:szCs w:val="23"/>
        </w:rPr>
        <w:t>аварії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масового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ураження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людей і </w:t>
      </w:r>
      <w:proofErr w:type="spellStart"/>
      <w:r>
        <w:rPr>
          <w:rFonts w:ascii="Georgia" w:hAnsi="Georgia"/>
          <w:color w:val="222222"/>
          <w:sz w:val="23"/>
          <w:szCs w:val="23"/>
        </w:rPr>
        <w:t>тварин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До ХНО </w:t>
      </w:r>
      <w:proofErr w:type="spellStart"/>
      <w:r>
        <w:rPr>
          <w:rFonts w:ascii="Georgia" w:hAnsi="Georgia"/>
          <w:color w:val="222222"/>
          <w:sz w:val="23"/>
          <w:szCs w:val="23"/>
        </w:rPr>
        <w:t>відносять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хімічні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</w:rPr>
        <w:t>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що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виробляють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чи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використовують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у </w:t>
      </w:r>
      <w:proofErr w:type="spellStart"/>
      <w:r>
        <w:rPr>
          <w:rFonts w:ascii="Georgia" w:hAnsi="Georgia"/>
          <w:color w:val="222222"/>
          <w:sz w:val="23"/>
          <w:szCs w:val="23"/>
        </w:rPr>
        <w:t>технологічних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процесах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СДЯР. </w:t>
      </w:r>
      <w:proofErr w:type="spellStart"/>
      <w:r>
        <w:rPr>
          <w:rFonts w:ascii="Georgia" w:hAnsi="Georgia"/>
          <w:color w:val="222222"/>
          <w:sz w:val="23"/>
          <w:szCs w:val="23"/>
        </w:rPr>
        <w:t>Це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можуть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бути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водопровідні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станції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станції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із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знезараження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каналізаційних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стоків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холодильники, </w:t>
      </w:r>
      <w:proofErr w:type="spellStart"/>
      <w:r>
        <w:rPr>
          <w:rFonts w:ascii="Georgia" w:hAnsi="Georgia"/>
          <w:color w:val="222222"/>
          <w:sz w:val="23"/>
          <w:szCs w:val="23"/>
        </w:rPr>
        <w:t>продуктопроводи</w:t>
      </w:r>
      <w:proofErr w:type="spellEnd"/>
      <w:r>
        <w:rPr>
          <w:rFonts w:ascii="Georgia" w:hAnsi="Georgia"/>
          <w:color w:val="222222"/>
          <w:sz w:val="23"/>
          <w:szCs w:val="23"/>
        </w:rPr>
        <w:t>, (</w:t>
      </w:r>
      <w:proofErr w:type="spellStart"/>
      <w:r>
        <w:rPr>
          <w:rFonts w:ascii="Georgia" w:hAnsi="Georgia"/>
          <w:color w:val="222222"/>
          <w:sz w:val="23"/>
          <w:szCs w:val="23"/>
        </w:rPr>
        <w:t>аміак</w:t>
      </w:r>
      <w:proofErr w:type="gramStart"/>
      <w:r>
        <w:rPr>
          <w:rFonts w:ascii="Georgia" w:hAnsi="Georgia"/>
          <w:color w:val="222222"/>
          <w:sz w:val="23"/>
          <w:szCs w:val="23"/>
        </w:rPr>
        <w:t>о</w:t>
      </w:r>
      <w:proofErr w:type="spellEnd"/>
      <w:r>
        <w:rPr>
          <w:rFonts w:ascii="Georgia" w:hAnsi="Georgia"/>
          <w:color w:val="222222"/>
          <w:sz w:val="23"/>
          <w:szCs w:val="23"/>
        </w:rPr>
        <w:t>-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хлоропроводи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) та </w:t>
      </w:r>
      <w:proofErr w:type="spellStart"/>
      <w:r>
        <w:rPr>
          <w:rFonts w:ascii="Georgia" w:hAnsi="Georgia"/>
          <w:color w:val="222222"/>
          <w:sz w:val="23"/>
          <w:szCs w:val="23"/>
        </w:rPr>
        <w:t>інші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об'єкти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В </w:t>
      </w:r>
      <w:proofErr w:type="spellStart"/>
      <w:r>
        <w:rPr>
          <w:rFonts w:ascii="Georgia" w:hAnsi="Georgia"/>
          <w:color w:val="222222"/>
          <w:sz w:val="23"/>
          <w:szCs w:val="23"/>
        </w:rPr>
        <w:t>результаті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аварій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на ХНО </w:t>
      </w:r>
      <w:proofErr w:type="spellStart"/>
      <w:r>
        <w:rPr>
          <w:rFonts w:ascii="Georgia" w:hAnsi="Georgia"/>
          <w:color w:val="222222"/>
          <w:sz w:val="23"/>
          <w:szCs w:val="23"/>
        </w:rPr>
        <w:t>утворюються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зони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осередки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хімічного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зараження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знаходження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в </w:t>
      </w:r>
      <w:proofErr w:type="spellStart"/>
      <w:r>
        <w:rPr>
          <w:rFonts w:ascii="Georgia" w:hAnsi="Georgia"/>
          <w:color w:val="222222"/>
          <w:sz w:val="23"/>
          <w:szCs w:val="23"/>
        </w:rPr>
        <w:t>яких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людей, </w:t>
      </w:r>
      <w:proofErr w:type="spellStart"/>
      <w:r>
        <w:rPr>
          <w:rFonts w:ascii="Georgia" w:hAnsi="Georgia"/>
          <w:color w:val="222222"/>
          <w:sz w:val="23"/>
          <w:szCs w:val="23"/>
        </w:rPr>
        <w:t>тварин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рослин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пов'язано</w:t>
      </w:r>
      <w:proofErr w:type="spellEnd"/>
      <w:proofErr w:type="gram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їх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ураженням</w:t>
      </w:r>
      <w:proofErr w:type="spellEnd"/>
      <w:r>
        <w:rPr>
          <w:rFonts w:ascii="Georgia" w:hAnsi="Georgia"/>
          <w:color w:val="222222"/>
          <w:sz w:val="23"/>
          <w:szCs w:val="23"/>
        </w:rPr>
        <w:t>.</w:t>
      </w:r>
    </w:p>
    <w:p w:rsidR="00623F79" w:rsidRDefault="00623F79" w:rsidP="00623F79">
      <w:pPr>
        <w:pStyle w:val="a5"/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Радіаційно-небезпечні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об'єкти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(РНО)</w:t>
      </w:r>
      <w:r>
        <w:rPr>
          <w:rFonts w:ascii="Georgia" w:hAnsi="Georgia"/>
          <w:color w:val="222222"/>
          <w:sz w:val="23"/>
          <w:szCs w:val="23"/>
        </w:rPr>
        <w:t> </w:t>
      </w:r>
      <w:proofErr w:type="spellStart"/>
      <w:r>
        <w:rPr>
          <w:rFonts w:ascii="Georgia" w:hAnsi="Georgia"/>
          <w:color w:val="222222"/>
          <w:sz w:val="23"/>
          <w:szCs w:val="23"/>
        </w:rPr>
        <w:t>являють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собою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</w:rPr>
        <w:t>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що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працюють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техногенними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джерелами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іонізуючого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опромінення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До них </w:t>
      </w:r>
      <w:proofErr w:type="spellStart"/>
      <w:r>
        <w:rPr>
          <w:rFonts w:ascii="Georgia" w:hAnsi="Georgia"/>
          <w:color w:val="222222"/>
          <w:sz w:val="23"/>
          <w:szCs w:val="23"/>
        </w:rPr>
        <w:t>відносять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</w:rPr>
        <w:t>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ядерного </w:t>
      </w:r>
      <w:proofErr w:type="spellStart"/>
      <w:r>
        <w:rPr>
          <w:rFonts w:ascii="Georgia" w:hAnsi="Georgia"/>
          <w:color w:val="222222"/>
          <w:sz w:val="23"/>
          <w:szCs w:val="23"/>
        </w:rPr>
        <w:t>паливного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циклу, </w:t>
      </w:r>
      <w:proofErr w:type="spellStart"/>
      <w:r>
        <w:rPr>
          <w:rFonts w:ascii="Georgia" w:hAnsi="Georgia"/>
          <w:color w:val="222222"/>
          <w:sz w:val="23"/>
          <w:szCs w:val="23"/>
        </w:rPr>
        <w:t>що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включають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у себе </w:t>
      </w:r>
      <w:proofErr w:type="spellStart"/>
      <w:r>
        <w:rPr>
          <w:rFonts w:ascii="Georgia" w:hAnsi="Georgia"/>
          <w:color w:val="222222"/>
          <w:sz w:val="23"/>
          <w:szCs w:val="23"/>
        </w:rPr>
        <w:t>шахти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рудники з </w:t>
      </w:r>
      <w:proofErr w:type="spellStart"/>
      <w:r>
        <w:rPr>
          <w:rFonts w:ascii="Georgia" w:hAnsi="Georgia"/>
          <w:color w:val="222222"/>
          <w:sz w:val="23"/>
          <w:szCs w:val="23"/>
        </w:rPr>
        <w:t>видобування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ядерного </w:t>
      </w:r>
      <w:proofErr w:type="spellStart"/>
      <w:r>
        <w:rPr>
          <w:rFonts w:ascii="Georgia" w:hAnsi="Georgia"/>
          <w:color w:val="222222"/>
          <w:sz w:val="23"/>
          <w:szCs w:val="23"/>
        </w:rPr>
        <w:t>палива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збагачувальні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фабрики, </w:t>
      </w:r>
      <w:proofErr w:type="spellStart"/>
      <w:r>
        <w:rPr>
          <w:rFonts w:ascii="Georgia" w:hAnsi="Georgia"/>
          <w:color w:val="222222"/>
          <w:sz w:val="23"/>
          <w:szCs w:val="23"/>
        </w:rPr>
        <w:t>підприємства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виробництва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тепловипромінюючих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елементів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атомні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електростанції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теплоелектроцентралі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судна </w:t>
      </w:r>
      <w:proofErr w:type="spellStart"/>
      <w:r>
        <w:rPr>
          <w:rFonts w:ascii="Georgia" w:hAnsi="Georgia"/>
          <w:color w:val="222222"/>
          <w:sz w:val="23"/>
          <w:szCs w:val="23"/>
        </w:rPr>
        <w:t>цивільного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воєнного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призначення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ядерними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енергетичними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установками, </w:t>
      </w:r>
      <w:proofErr w:type="spellStart"/>
      <w:r>
        <w:rPr>
          <w:rFonts w:ascii="Georgia" w:hAnsi="Georgia"/>
          <w:color w:val="222222"/>
          <w:sz w:val="23"/>
          <w:szCs w:val="23"/>
        </w:rPr>
        <w:t>підприємства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переробки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поховання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радіоактивних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відходів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Аварії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на РНО </w:t>
      </w:r>
      <w:proofErr w:type="spellStart"/>
      <w:r>
        <w:rPr>
          <w:rFonts w:ascii="Georgia" w:hAnsi="Georgia"/>
          <w:color w:val="222222"/>
          <w:sz w:val="23"/>
          <w:szCs w:val="23"/>
        </w:rPr>
        <w:t>пов'язані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утворенням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зон </w:t>
      </w:r>
      <w:proofErr w:type="spellStart"/>
      <w:r>
        <w:rPr>
          <w:rFonts w:ascii="Georgia" w:hAnsi="Georgia"/>
          <w:color w:val="222222"/>
          <w:sz w:val="23"/>
          <w:szCs w:val="23"/>
        </w:rPr>
        <w:t>радіоактивного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зараження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В </w:t>
      </w:r>
      <w:proofErr w:type="spellStart"/>
      <w:r>
        <w:rPr>
          <w:rFonts w:ascii="Georgia" w:hAnsi="Georgia"/>
          <w:color w:val="222222"/>
          <w:sz w:val="23"/>
          <w:szCs w:val="23"/>
        </w:rPr>
        <w:t>деяких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випадках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при </w:t>
      </w:r>
      <w:proofErr w:type="spellStart"/>
      <w:r>
        <w:rPr>
          <w:rFonts w:ascii="Georgia" w:hAnsi="Georgia"/>
          <w:color w:val="222222"/>
          <w:sz w:val="23"/>
          <w:szCs w:val="23"/>
        </w:rPr>
        <w:t>крупних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аваріях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222222"/>
          <w:sz w:val="23"/>
          <w:szCs w:val="23"/>
        </w:rPr>
        <w:t>вони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охоплюють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великі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території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які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можуть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бути </w:t>
      </w:r>
      <w:proofErr w:type="spellStart"/>
      <w:r>
        <w:rPr>
          <w:rFonts w:ascii="Georgia" w:hAnsi="Georgia"/>
          <w:color w:val="222222"/>
          <w:sz w:val="23"/>
          <w:szCs w:val="23"/>
        </w:rPr>
        <w:t>повністю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виведені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на </w:t>
      </w:r>
      <w:proofErr w:type="spellStart"/>
      <w:r>
        <w:rPr>
          <w:rFonts w:ascii="Georgia" w:hAnsi="Georgia"/>
          <w:color w:val="222222"/>
          <w:sz w:val="23"/>
          <w:szCs w:val="23"/>
        </w:rPr>
        <w:t>тривалий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час </w:t>
      </w:r>
      <w:proofErr w:type="spellStart"/>
      <w:r>
        <w:rPr>
          <w:rFonts w:ascii="Georgia" w:hAnsi="Georgia"/>
          <w:color w:val="222222"/>
          <w:sz w:val="23"/>
          <w:szCs w:val="23"/>
        </w:rPr>
        <w:t>із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господарчого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обігу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Люди і </w:t>
      </w:r>
      <w:proofErr w:type="spellStart"/>
      <w:r>
        <w:rPr>
          <w:rFonts w:ascii="Georgia" w:hAnsi="Georgia"/>
          <w:color w:val="222222"/>
          <w:sz w:val="23"/>
          <w:szCs w:val="23"/>
        </w:rPr>
        <w:t>тварини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що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опиняються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у межах зон </w:t>
      </w:r>
      <w:proofErr w:type="spellStart"/>
      <w:r>
        <w:rPr>
          <w:rFonts w:ascii="Georgia" w:hAnsi="Georgia"/>
          <w:color w:val="222222"/>
          <w:sz w:val="23"/>
          <w:szCs w:val="23"/>
        </w:rPr>
        <w:t>радіоактивного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ураження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як правило, </w:t>
      </w:r>
      <w:proofErr w:type="spellStart"/>
      <w:r>
        <w:rPr>
          <w:rFonts w:ascii="Georgia" w:hAnsi="Georgia"/>
          <w:color w:val="222222"/>
          <w:sz w:val="23"/>
          <w:szCs w:val="23"/>
        </w:rPr>
        <w:t>отримують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радіоактивні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ураження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р</w:t>
      </w:r>
      <w:proofErr w:type="gramEnd"/>
      <w:r>
        <w:rPr>
          <w:rFonts w:ascii="Georgia" w:hAnsi="Georgia"/>
          <w:color w:val="222222"/>
          <w:sz w:val="23"/>
          <w:szCs w:val="23"/>
        </w:rPr>
        <w:t>ізної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тяжкості</w:t>
      </w:r>
      <w:proofErr w:type="spellEnd"/>
      <w:r>
        <w:rPr>
          <w:rFonts w:ascii="Georgia" w:hAnsi="Georgia"/>
          <w:color w:val="222222"/>
          <w:sz w:val="23"/>
          <w:szCs w:val="23"/>
        </w:rPr>
        <w:t>.</w:t>
      </w:r>
    </w:p>
    <w:p w:rsidR="00623F79" w:rsidRDefault="00623F79" w:rsidP="00623F79">
      <w:pPr>
        <w:pStyle w:val="a5"/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Гідротехнічні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споруди</w:t>
      </w:r>
      <w:proofErr w:type="spellEnd"/>
      <w:r>
        <w:rPr>
          <w:rFonts w:ascii="Georgia" w:hAnsi="Georgia"/>
          <w:color w:val="222222"/>
          <w:sz w:val="23"/>
          <w:szCs w:val="23"/>
        </w:rPr>
        <w:t> </w:t>
      </w:r>
      <w:proofErr w:type="spellStart"/>
      <w:r>
        <w:rPr>
          <w:rFonts w:ascii="Georgia" w:hAnsi="Georgia"/>
          <w:color w:val="222222"/>
          <w:sz w:val="23"/>
          <w:szCs w:val="23"/>
        </w:rPr>
        <w:t>призначені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використання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ресурсів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боротьби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шкідливим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впливом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водної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стихії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До них </w:t>
      </w:r>
      <w:proofErr w:type="spellStart"/>
      <w:r>
        <w:rPr>
          <w:rFonts w:ascii="Georgia" w:hAnsi="Georgia"/>
          <w:color w:val="222222"/>
          <w:sz w:val="23"/>
          <w:szCs w:val="23"/>
        </w:rPr>
        <w:t>відносяться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греблі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дамби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вали, канали, </w:t>
      </w:r>
      <w:proofErr w:type="spellStart"/>
      <w:r>
        <w:rPr>
          <w:rFonts w:ascii="Georgia" w:hAnsi="Georgia"/>
          <w:color w:val="222222"/>
          <w:sz w:val="23"/>
          <w:szCs w:val="23"/>
        </w:rPr>
        <w:t>шлюзи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трубопроводи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тунелі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моли,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водосховища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хвост</w:t>
      </w:r>
      <w:proofErr w:type="gramStart"/>
      <w:r>
        <w:rPr>
          <w:rFonts w:ascii="Georgia" w:hAnsi="Georgia"/>
          <w:color w:val="222222"/>
          <w:sz w:val="23"/>
          <w:szCs w:val="23"/>
        </w:rPr>
        <w:t>о</w:t>
      </w:r>
      <w:proofErr w:type="spellEnd"/>
      <w:r>
        <w:rPr>
          <w:rFonts w:ascii="Georgia" w:hAnsi="Georgia"/>
          <w:color w:val="222222"/>
          <w:sz w:val="23"/>
          <w:szCs w:val="23"/>
        </w:rPr>
        <w:t>-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шламосховища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гірничометалургійних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підприємств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інші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інженерні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Сукупність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гідротехнічних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являє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собою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гідровузол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Гідровузли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можуть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бути </w:t>
      </w:r>
      <w:proofErr w:type="spellStart"/>
      <w:r>
        <w:rPr>
          <w:rFonts w:ascii="Georgia" w:hAnsi="Georgia"/>
          <w:color w:val="222222"/>
          <w:sz w:val="23"/>
          <w:szCs w:val="23"/>
        </w:rPr>
        <w:t>призначені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отримання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електроенергії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покращення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судноплавства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або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лісосплаву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забору води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водопостачання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чи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зрошення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Перші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них </w:t>
      </w:r>
      <w:proofErr w:type="spellStart"/>
      <w:r>
        <w:rPr>
          <w:rFonts w:ascii="Georgia" w:hAnsi="Georgia"/>
          <w:color w:val="222222"/>
          <w:sz w:val="23"/>
          <w:szCs w:val="23"/>
        </w:rPr>
        <w:t>мають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назву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гідроенергетичних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вузлі</w:t>
      </w:r>
      <w:proofErr w:type="gramStart"/>
      <w:r>
        <w:rPr>
          <w:rFonts w:ascii="Georgia" w:hAnsi="Georgia"/>
          <w:color w:val="222222"/>
          <w:sz w:val="23"/>
          <w:szCs w:val="23"/>
        </w:rPr>
        <w:t>в</w:t>
      </w:r>
      <w:proofErr w:type="spellEnd"/>
      <w:proofErr w:type="gram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другі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– </w:t>
      </w:r>
      <w:proofErr w:type="spellStart"/>
      <w:r>
        <w:rPr>
          <w:rFonts w:ascii="Georgia" w:hAnsi="Georgia"/>
          <w:color w:val="222222"/>
          <w:sz w:val="23"/>
          <w:szCs w:val="23"/>
        </w:rPr>
        <w:t>транспортних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треті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–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водозабірних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До числа </w:t>
      </w:r>
      <w:proofErr w:type="spellStart"/>
      <w:r>
        <w:rPr>
          <w:rFonts w:ascii="Georgia" w:hAnsi="Georgia"/>
          <w:color w:val="222222"/>
          <w:sz w:val="23"/>
          <w:szCs w:val="23"/>
        </w:rPr>
        <w:t>загальних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гідротехнічних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що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входять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до складу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гідровузла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відносять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греблі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водоскиди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водозливи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водоспуски, </w:t>
      </w:r>
      <w:proofErr w:type="spellStart"/>
      <w:r>
        <w:rPr>
          <w:rFonts w:ascii="Georgia" w:hAnsi="Georgia"/>
          <w:color w:val="222222"/>
          <w:sz w:val="23"/>
          <w:szCs w:val="23"/>
        </w:rPr>
        <w:t>льод</w:t>
      </w:r>
      <w:proofErr w:type="gramStart"/>
      <w:r>
        <w:rPr>
          <w:rFonts w:ascii="Georgia" w:hAnsi="Georgia"/>
          <w:color w:val="222222"/>
          <w:sz w:val="23"/>
          <w:szCs w:val="23"/>
        </w:rPr>
        <w:t>о</w:t>
      </w:r>
      <w:proofErr w:type="spellEnd"/>
      <w:r>
        <w:rPr>
          <w:rFonts w:ascii="Georgia" w:hAnsi="Georgia"/>
          <w:color w:val="222222"/>
          <w:sz w:val="23"/>
          <w:szCs w:val="23"/>
        </w:rPr>
        <w:t>-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шугоскиди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пристрої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льодозахисту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22222"/>
          <w:sz w:val="23"/>
          <w:szCs w:val="23"/>
        </w:rPr>
        <w:t>льодозатримки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Спеціальними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спорудами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гідровузлів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є </w:t>
      </w:r>
      <w:proofErr w:type="spellStart"/>
      <w:r>
        <w:rPr>
          <w:rFonts w:ascii="Georgia" w:hAnsi="Georgia"/>
          <w:color w:val="222222"/>
          <w:sz w:val="23"/>
          <w:szCs w:val="23"/>
        </w:rPr>
        <w:t>суднохідні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влаштування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(</w:t>
      </w:r>
      <w:proofErr w:type="spellStart"/>
      <w:r>
        <w:rPr>
          <w:rFonts w:ascii="Georgia" w:hAnsi="Georgia"/>
          <w:color w:val="222222"/>
          <w:sz w:val="23"/>
          <w:szCs w:val="23"/>
        </w:rPr>
        <w:t>шлюзи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), </w:t>
      </w:r>
      <w:proofErr w:type="spellStart"/>
      <w:r>
        <w:rPr>
          <w:rFonts w:ascii="Georgia" w:hAnsi="Georgia"/>
          <w:color w:val="222222"/>
          <w:sz w:val="23"/>
          <w:szCs w:val="23"/>
        </w:rPr>
        <w:t>буді</w:t>
      </w:r>
      <w:proofErr w:type="gramStart"/>
      <w:r>
        <w:rPr>
          <w:rFonts w:ascii="Georgia" w:hAnsi="Georgia"/>
          <w:color w:val="222222"/>
          <w:sz w:val="23"/>
          <w:szCs w:val="23"/>
        </w:rPr>
        <w:t>вл</w:t>
      </w:r>
      <w:proofErr w:type="gramEnd"/>
      <w:r>
        <w:rPr>
          <w:rFonts w:ascii="Georgia" w:hAnsi="Georgia"/>
          <w:color w:val="222222"/>
          <w:sz w:val="23"/>
          <w:szCs w:val="23"/>
        </w:rPr>
        <w:t>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гідроелектростанцій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пристрої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лісосплаву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та </w:t>
      </w:r>
      <w:proofErr w:type="spellStart"/>
      <w:r>
        <w:rPr>
          <w:rFonts w:ascii="Georgia" w:hAnsi="Georgia"/>
          <w:color w:val="222222"/>
          <w:sz w:val="23"/>
          <w:szCs w:val="23"/>
        </w:rPr>
        <w:t>інші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22222"/>
          <w:sz w:val="23"/>
          <w:szCs w:val="23"/>
        </w:rPr>
        <w:t>Потенційно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lastRenderedPageBreak/>
        <w:t>небезпечними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є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гідротехнічні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споруди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на </w:t>
      </w:r>
      <w:proofErr w:type="spellStart"/>
      <w:r>
        <w:rPr>
          <w:rFonts w:ascii="Georgia" w:hAnsi="Georgia"/>
          <w:color w:val="222222"/>
          <w:sz w:val="23"/>
          <w:szCs w:val="23"/>
        </w:rPr>
        <w:t>яких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можливі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гідродинамічні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аварії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proofErr w:type="gramStart"/>
      <w:r>
        <w:rPr>
          <w:rFonts w:ascii="Georgia" w:hAnsi="Georgia"/>
          <w:color w:val="222222"/>
          <w:sz w:val="23"/>
          <w:szCs w:val="23"/>
        </w:rPr>
        <w:t>пов'язан</w:t>
      </w:r>
      <w:proofErr w:type="gramEnd"/>
      <w:r>
        <w:rPr>
          <w:rFonts w:ascii="Georgia" w:hAnsi="Georgia"/>
          <w:color w:val="222222"/>
          <w:sz w:val="23"/>
          <w:szCs w:val="23"/>
        </w:rPr>
        <w:t>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222222"/>
          <w:sz w:val="23"/>
          <w:szCs w:val="23"/>
        </w:rPr>
        <w:t>поширенням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 великою </w:t>
      </w:r>
      <w:proofErr w:type="spellStart"/>
      <w:r>
        <w:rPr>
          <w:rFonts w:ascii="Georgia" w:hAnsi="Georgia"/>
          <w:color w:val="222222"/>
          <w:sz w:val="23"/>
          <w:szCs w:val="23"/>
        </w:rPr>
        <w:t>швидкістю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води.</w:t>
      </w:r>
    </w:p>
    <w:p w:rsidR="00623F79" w:rsidRDefault="00623F79" w:rsidP="003F2A3F">
      <w:bookmarkStart w:id="0" w:name="_GoBack"/>
      <w:bookmarkEnd w:id="0"/>
    </w:p>
    <w:p w:rsidR="00B752EE" w:rsidRPr="003F2A3F" w:rsidRDefault="00B752EE" w:rsidP="003F2A3F"/>
    <w:sectPr w:rsidR="00B752EE" w:rsidRPr="003F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C07"/>
    <w:multiLevelType w:val="multilevel"/>
    <w:tmpl w:val="1F4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F53E8"/>
    <w:multiLevelType w:val="multilevel"/>
    <w:tmpl w:val="4C92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31EFF"/>
    <w:multiLevelType w:val="multilevel"/>
    <w:tmpl w:val="C8F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845D7"/>
    <w:multiLevelType w:val="multilevel"/>
    <w:tmpl w:val="F930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D21CE"/>
    <w:multiLevelType w:val="multilevel"/>
    <w:tmpl w:val="275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87826"/>
    <w:multiLevelType w:val="multilevel"/>
    <w:tmpl w:val="1CB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96413"/>
    <w:multiLevelType w:val="multilevel"/>
    <w:tmpl w:val="F34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E0"/>
    <w:rsid w:val="003F2A3F"/>
    <w:rsid w:val="00623F79"/>
    <w:rsid w:val="00766EBA"/>
    <w:rsid w:val="008000E3"/>
    <w:rsid w:val="008F3FE0"/>
    <w:rsid w:val="00B752E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3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1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4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27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3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1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4778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4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7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2020-04-30T15:39:00Z</dcterms:created>
  <dcterms:modified xsi:type="dcterms:W3CDTF">2020-04-30T16:33:00Z</dcterms:modified>
</cp:coreProperties>
</file>