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Аналіз контрольної роботи</w:t>
      </w:r>
      <w:r>
        <w:rPr>
          <w:color w:val="000000"/>
          <w:u w:val="single"/>
          <w:lang w:val="en-US"/>
        </w:rPr>
        <w:t>. Розв'язування вправ.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Виконати номери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26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32</w:t>
      </w:r>
      <w:r>
        <w:rPr>
          <w:color w:val="000000"/>
          <w:u w:val="single"/>
          <w:lang w:val="en-US"/>
        </w:rPr>
        <w:t xml:space="preserve"> ст.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7</w:t>
      </w:r>
      <w:r>
        <w:rPr>
          <w:color w:val="000000"/>
          <w:u w:val="single"/>
          <w:lang w:val="en-US"/>
        </w:rPr>
        <w:t>6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</Words>
  <Pages>1</Pages>
  <Characters>69</Characters>
  <Application>WPS Office</Application>
  <DocSecurity>0</DocSecurity>
  <Paragraphs>6</Paragraphs>
  <ScaleCrop>false</ScaleCrop>
  <LinksUpToDate>false</LinksUpToDate>
  <CharactersWithSpaces>79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2020-05-21T14:16:49Z</dcterms:created>
  <dc:creator>WPS Office</dc:creator>
  <lastModifiedBy>SM-J510H</lastModifiedBy>
  <dcterms:modified xsi:type="dcterms:W3CDTF">2020-05-21T14:16:49Z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